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A6949" w14:textId="0AC7E90D" w:rsidR="000375DD" w:rsidRPr="007D4FCB" w:rsidRDefault="000375DD" w:rsidP="007A5939">
      <w:pPr>
        <w:jc w:val="both"/>
        <w:rPr>
          <w:rFonts w:ascii="Tahoma" w:hAnsi="Tahoma" w:cs="Tahoma"/>
          <w:kern w:val="0"/>
        </w:rPr>
      </w:pPr>
    </w:p>
    <w:p w14:paraId="32443F23" w14:textId="7F36EA04" w:rsidR="00A278C4" w:rsidRPr="007D4FCB" w:rsidRDefault="00A278C4" w:rsidP="007A5939">
      <w:pPr>
        <w:jc w:val="both"/>
        <w:rPr>
          <w:rFonts w:ascii="Tahoma" w:hAnsi="Tahoma" w:cs="Tahoma"/>
          <w:kern w:val="0"/>
        </w:rPr>
      </w:pPr>
    </w:p>
    <w:p w14:paraId="78BCA684" w14:textId="784D1AF3" w:rsidR="00A278C4" w:rsidRPr="007D4FCB" w:rsidRDefault="00A278C4" w:rsidP="007A5939">
      <w:pPr>
        <w:jc w:val="both"/>
        <w:rPr>
          <w:rFonts w:ascii="Tahoma" w:hAnsi="Tahoma" w:cs="Tahoma"/>
          <w:kern w:val="0"/>
        </w:rPr>
      </w:pPr>
    </w:p>
    <w:p w14:paraId="410FC600" w14:textId="152BD33B" w:rsidR="00A278C4" w:rsidRPr="007D4FCB" w:rsidRDefault="00A278C4" w:rsidP="007A5939">
      <w:pPr>
        <w:jc w:val="both"/>
        <w:rPr>
          <w:rFonts w:ascii="Tahoma" w:hAnsi="Tahoma" w:cs="Tahoma"/>
          <w:kern w:val="0"/>
        </w:rPr>
      </w:pPr>
    </w:p>
    <w:p w14:paraId="4D53411F" w14:textId="0DF60F11" w:rsidR="00A278C4" w:rsidRPr="007D4FCB" w:rsidRDefault="00A278C4" w:rsidP="007A5939">
      <w:pPr>
        <w:jc w:val="both"/>
        <w:rPr>
          <w:rFonts w:ascii="Tahoma" w:hAnsi="Tahoma" w:cs="Tahoma"/>
          <w:kern w:val="0"/>
        </w:rPr>
      </w:pPr>
    </w:p>
    <w:p w14:paraId="33ACB99F" w14:textId="77777777" w:rsidR="00A278C4" w:rsidRPr="007D4FCB" w:rsidRDefault="00A278C4" w:rsidP="007A5939">
      <w:pPr>
        <w:jc w:val="both"/>
        <w:rPr>
          <w:rFonts w:ascii="Tahoma" w:hAnsi="Tahoma" w:cs="Tahoma"/>
          <w:kern w:val="0"/>
        </w:rPr>
      </w:pPr>
    </w:p>
    <w:p w14:paraId="083C0859" w14:textId="77777777" w:rsidR="00256928" w:rsidRPr="007D4FCB" w:rsidRDefault="00256928" w:rsidP="007A5939">
      <w:pPr>
        <w:jc w:val="both"/>
        <w:rPr>
          <w:rFonts w:ascii="Tahoma" w:hAnsi="Tahoma" w:cs="Tahoma"/>
          <w:kern w:val="0"/>
        </w:rPr>
      </w:pPr>
    </w:p>
    <w:p w14:paraId="0E5AF1E9" w14:textId="3A935740" w:rsidR="008C493F" w:rsidRPr="007D4FCB" w:rsidRDefault="0088226D" w:rsidP="00F96CC0">
      <w:pPr>
        <w:jc w:val="center"/>
        <w:rPr>
          <w:rFonts w:ascii="Tahoma" w:hAnsi="Tahoma" w:cs="Tahoma"/>
          <w:kern w:val="0"/>
        </w:rPr>
      </w:pPr>
      <w:r w:rsidRPr="007D4FCB">
        <w:rPr>
          <w:rFonts w:ascii="Tahoma" w:hAnsi="Tahoma" w:cs="Tahoma"/>
          <w:noProof/>
        </w:rPr>
        <w:drawing>
          <wp:inline distT="0" distB="0" distL="0" distR="0" wp14:anchorId="74A00C84" wp14:editId="52365E2E">
            <wp:extent cx="2668183" cy="16097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1219" cy="1611556"/>
                    </a:xfrm>
                    <a:prstGeom prst="rect">
                      <a:avLst/>
                    </a:prstGeom>
                    <a:noFill/>
                    <a:ln>
                      <a:noFill/>
                    </a:ln>
                  </pic:spPr>
                </pic:pic>
              </a:graphicData>
            </a:graphic>
          </wp:inline>
        </w:drawing>
      </w:r>
    </w:p>
    <w:p w14:paraId="2A1C3DF9" w14:textId="3B2D9A94" w:rsidR="00A278C4" w:rsidRPr="007D4FCB" w:rsidRDefault="00A278C4" w:rsidP="00F96CC0">
      <w:pPr>
        <w:jc w:val="center"/>
        <w:rPr>
          <w:rFonts w:ascii="Tahoma" w:hAnsi="Tahoma" w:cs="Tahoma"/>
          <w:kern w:val="0"/>
        </w:rPr>
      </w:pPr>
      <w:r w:rsidRPr="007D4FCB">
        <w:rPr>
          <w:rFonts w:ascii="Tahoma" w:hAnsi="Tahoma" w:cs="Tahoma"/>
          <w:kern w:val="0"/>
        </w:rPr>
        <w:t>Ministerio de Cultura y Desarrollo Rural</w:t>
      </w:r>
    </w:p>
    <w:p w14:paraId="5F8FF4F5" w14:textId="30B54900" w:rsidR="00706C42" w:rsidRPr="007D4FCB" w:rsidRDefault="00706C42" w:rsidP="00F96CC0">
      <w:pPr>
        <w:jc w:val="center"/>
        <w:rPr>
          <w:rFonts w:ascii="Tahoma" w:hAnsi="Tahoma" w:cs="Tahoma"/>
          <w:kern w:val="0"/>
        </w:rPr>
      </w:pPr>
    </w:p>
    <w:p w14:paraId="35BE515A" w14:textId="6143C70E" w:rsidR="00706C42" w:rsidRPr="007D4FCB" w:rsidRDefault="00706C42" w:rsidP="00F96CC0">
      <w:pPr>
        <w:jc w:val="center"/>
        <w:rPr>
          <w:rFonts w:ascii="Tahoma" w:hAnsi="Tahoma" w:cs="Tahoma"/>
          <w:kern w:val="0"/>
        </w:rPr>
      </w:pPr>
    </w:p>
    <w:p w14:paraId="00384A5E" w14:textId="0A89A94E" w:rsidR="00706C42" w:rsidRPr="007D4FCB" w:rsidRDefault="00706C42" w:rsidP="00F96CC0">
      <w:pPr>
        <w:jc w:val="center"/>
        <w:rPr>
          <w:rFonts w:ascii="Tahoma" w:hAnsi="Tahoma" w:cs="Tahoma"/>
          <w:kern w:val="0"/>
        </w:rPr>
      </w:pPr>
    </w:p>
    <w:p w14:paraId="5E30CECE" w14:textId="117AA945" w:rsidR="00706C42" w:rsidRPr="007D4FCB" w:rsidRDefault="00706C42" w:rsidP="00F96CC0">
      <w:pPr>
        <w:jc w:val="center"/>
        <w:rPr>
          <w:rFonts w:ascii="Tahoma" w:hAnsi="Tahoma" w:cs="Tahoma"/>
          <w:kern w:val="0"/>
        </w:rPr>
      </w:pPr>
    </w:p>
    <w:p w14:paraId="29BC6A99" w14:textId="3C5241B4" w:rsidR="00706C42" w:rsidRPr="007D4FCB" w:rsidRDefault="00706C42" w:rsidP="00F96CC0">
      <w:pPr>
        <w:jc w:val="center"/>
        <w:rPr>
          <w:rFonts w:ascii="Tahoma" w:hAnsi="Tahoma" w:cs="Tahoma"/>
          <w:kern w:val="0"/>
        </w:rPr>
      </w:pPr>
    </w:p>
    <w:p w14:paraId="3AAF733A" w14:textId="77777777" w:rsidR="00706C42" w:rsidRPr="007D4FCB" w:rsidRDefault="00706C42" w:rsidP="00F96CC0">
      <w:pPr>
        <w:jc w:val="center"/>
        <w:rPr>
          <w:rFonts w:ascii="Tahoma" w:hAnsi="Tahoma" w:cs="Tahoma"/>
          <w:kern w:val="0"/>
        </w:rPr>
      </w:pPr>
    </w:p>
    <w:p w14:paraId="057F94D5" w14:textId="16168257" w:rsidR="00A278C4" w:rsidRPr="007D4FCB" w:rsidRDefault="00706C42" w:rsidP="00F96CC0">
      <w:pPr>
        <w:jc w:val="center"/>
        <w:rPr>
          <w:rFonts w:ascii="Tahoma" w:hAnsi="Tahoma" w:cs="Tahoma"/>
        </w:rPr>
      </w:pPr>
      <w:r w:rsidRPr="007D4FCB">
        <w:rPr>
          <w:rFonts w:ascii="Tahoma" w:hAnsi="Tahoma" w:cs="Tahoma"/>
          <w:b/>
          <w:bCs/>
        </w:rPr>
        <w:t>INFORME MENSUAL Y LAS MATRICES QUE SE REQUIERAN PARA LOS REPORTES DE COMUNICACIONES Y PQRSD DEL SGDEA</w:t>
      </w:r>
    </w:p>
    <w:p w14:paraId="0501975C" w14:textId="29184BE9" w:rsidR="00A278C4" w:rsidRPr="007D4FCB" w:rsidRDefault="00A278C4" w:rsidP="00F96CC0">
      <w:pPr>
        <w:jc w:val="center"/>
        <w:rPr>
          <w:rFonts w:ascii="Tahoma" w:hAnsi="Tahoma" w:cs="Tahoma"/>
        </w:rPr>
      </w:pPr>
    </w:p>
    <w:p w14:paraId="2424F8EC" w14:textId="396E2FF4" w:rsidR="00A278C4" w:rsidRPr="007D4FCB" w:rsidRDefault="00A278C4" w:rsidP="00F96CC0">
      <w:pPr>
        <w:jc w:val="center"/>
        <w:rPr>
          <w:rFonts w:ascii="Tahoma" w:hAnsi="Tahoma" w:cs="Tahoma"/>
        </w:rPr>
      </w:pPr>
    </w:p>
    <w:p w14:paraId="533282A6" w14:textId="53CB006E" w:rsidR="00A278C4" w:rsidRPr="007D4FCB" w:rsidRDefault="00A278C4" w:rsidP="00F96CC0">
      <w:pPr>
        <w:jc w:val="center"/>
        <w:rPr>
          <w:rFonts w:ascii="Tahoma" w:hAnsi="Tahoma" w:cs="Tahoma"/>
        </w:rPr>
      </w:pPr>
    </w:p>
    <w:p w14:paraId="68564DE7" w14:textId="51F78CC8" w:rsidR="00F93BD9" w:rsidRPr="007D4FCB" w:rsidRDefault="00F93BD9" w:rsidP="00F96CC0">
      <w:pPr>
        <w:jc w:val="center"/>
        <w:rPr>
          <w:rFonts w:ascii="Tahoma" w:hAnsi="Tahoma" w:cs="Tahoma"/>
          <w:kern w:val="0"/>
        </w:rPr>
      </w:pPr>
    </w:p>
    <w:p w14:paraId="20E0A3C8" w14:textId="77777777" w:rsidR="00F93BD9" w:rsidRPr="007D4FCB" w:rsidRDefault="00F93BD9" w:rsidP="00F96CC0">
      <w:pPr>
        <w:jc w:val="center"/>
        <w:rPr>
          <w:rFonts w:ascii="Tahoma" w:hAnsi="Tahoma" w:cs="Tahoma"/>
          <w:kern w:val="0"/>
        </w:rPr>
      </w:pPr>
    </w:p>
    <w:p w14:paraId="312C8078" w14:textId="77777777" w:rsidR="00F96CC0" w:rsidRPr="007D4FCB" w:rsidRDefault="00F96CC0" w:rsidP="00F96CC0">
      <w:pPr>
        <w:jc w:val="center"/>
        <w:rPr>
          <w:rFonts w:ascii="Tahoma" w:hAnsi="Tahoma" w:cs="Tahoma"/>
          <w:kern w:val="0"/>
        </w:rPr>
      </w:pPr>
    </w:p>
    <w:p w14:paraId="7B441C33" w14:textId="278BD9C1" w:rsidR="00A278C4" w:rsidRPr="007D4FCB" w:rsidRDefault="00A278C4" w:rsidP="00F96CC0">
      <w:pPr>
        <w:spacing w:after="0"/>
        <w:jc w:val="center"/>
        <w:rPr>
          <w:rFonts w:ascii="Tahoma" w:hAnsi="Tahoma" w:cs="Tahoma"/>
        </w:rPr>
      </w:pPr>
      <w:r w:rsidRPr="007D4FCB">
        <w:rPr>
          <w:rFonts w:ascii="Tahoma" w:hAnsi="Tahoma" w:cs="Tahoma"/>
        </w:rPr>
        <w:t>Bogotá, D.C</w:t>
      </w:r>
      <w:r w:rsidR="004344A5" w:rsidRPr="007D4FCB">
        <w:rPr>
          <w:rFonts w:ascii="Tahoma" w:hAnsi="Tahoma" w:cs="Tahoma"/>
        </w:rPr>
        <w:t xml:space="preserve">. </w:t>
      </w:r>
      <w:r w:rsidRPr="007D4FCB">
        <w:rPr>
          <w:rFonts w:ascii="Tahoma" w:hAnsi="Tahoma" w:cs="Tahoma"/>
        </w:rPr>
        <w:t>202</w:t>
      </w:r>
      <w:r w:rsidR="00706C42" w:rsidRPr="007D4FCB">
        <w:rPr>
          <w:rFonts w:ascii="Tahoma" w:hAnsi="Tahoma" w:cs="Tahoma"/>
        </w:rPr>
        <w:t>6</w:t>
      </w:r>
    </w:p>
    <w:p w14:paraId="3134D2F0" w14:textId="528D0F7D" w:rsidR="00171ABB" w:rsidRPr="007D4FCB" w:rsidRDefault="00171ABB" w:rsidP="00F96CC0">
      <w:pPr>
        <w:spacing w:after="0"/>
        <w:jc w:val="center"/>
        <w:rPr>
          <w:rFonts w:ascii="Tahoma" w:hAnsi="Tahoma" w:cs="Tahoma"/>
        </w:rPr>
      </w:pPr>
    </w:p>
    <w:p w14:paraId="75988C0B" w14:textId="6415D6A0" w:rsidR="00A70855" w:rsidRPr="007D4FCB" w:rsidRDefault="00A70855">
      <w:pPr>
        <w:rPr>
          <w:rFonts w:ascii="Tahoma" w:hAnsi="Tahoma" w:cs="Tahoma"/>
        </w:rPr>
      </w:pPr>
    </w:p>
    <w:p w14:paraId="66066905" w14:textId="77777777" w:rsidR="00CA5A1A" w:rsidRPr="007D4FCB" w:rsidRDefault="00CA5A1A" w:rsidP="00CB044F">
      <w:pPr>
        <w:pStyle w:val="Estilo1"/>
        <w:rPr>
          <w:rFonts w:cs="Tahoma"/>
          <w:sz w:val="22"/>
          <w:szCs w:val="22"/>
        </w:rPr>
      </w:pPr>
      <w:bookmarkStart w:id="0" w:name="_Toc217384929"/>
      <w:bookmarkStart w:id="1" w:name="_Toc217385244"/>
      <w:bookmarkStart w:id="2" w:name="_Toc217393972"/>
      <w:bookmarkStart w:id="3" w:name="_Toc217394035"/>
      <w:bookmarkStart w:id="4" w:name="_Toc217394101"/>
      <w:bookmarkStart w:id="5" w:name="_Toc217394406"/>
      <w:r w:rsidRPr="007D4FCB">
        <w:rPr>
          <w:rFonts w:cs="Tahoma"/>
          <w:sz w:val="22"/>
          <w:szCs w:val="22"/>
        </w:rPr>
        <w:t>1. INTRODUCCIÓN</w:t>
      </w:r>
      <w:bookmarkEnd w:id="0"/>
      <w:bookmarkEnd w:id="1"/>
      <w:bookmarkEnd w:id="2"/>
      <w:bookmarkEnd w:id="3"/>
      <w:bookmarkEnd w:id="4"/>
      <w:bookmarkEnd w:id="5"/>
    </w:p>
    <w:p w14:paraId="30ECC1D8" w14:textId="77777777" w:rsidR="00706C42" w:rsidRPr="00706C42" w:rsidRDefault="00706C42" w:rsidP="00706C42">
      <w:pPr>
        <w:spacing w:before="100" w:beforeAutospacing="1" w:after="100" w:afterAutospacing="1" w:line="240" w:lineRule="auto"/>
        <w:jc w:val="both"/>
        <w:rPr>
          <w:rFonts w:ascii="Tahoma" w:eastAsia="Times New Roman" w:hAnsi="Tahoma" w:cs="Tahoma"/>
          <w:kern w:val="0"/>
          <w:lang w:eastAsia="es-CO"/>
          <w14:ligatures w14:val="none"/>
        </w:rPr>
      </w:pPr>
      <w:r w:rsidRPr="00706C42">
        <w:rPr>
          <w:rFonts w:ascii="Tahoma" w:eastAsia="Times New Roman" w:hAnsi="Tahoma" w:cs="Tahoma"/>
          <w:kern w:val="0"/>
          <w:lang w:eastAsia="es-CO"/>
          <w14:ligatures w14:val="none"/>
        </w:rPr>
        <w:t>En cumplimiento de las actividades asociadas a la administración y seguimiento del Sistema de Gestión de Documentos Electrónicos de Archivo – SGDEA, durante el periodo reportado se realizó el monitoreo y control de las comunicaciones oficiales y de las Peticiones, Quejas, Reclamos, Sugerencias y Denuncias (PQRSD), con el propósito de verificar la correcta radicación, distribución, trámite y respuesta dentro de los tiempos establecidos por la normativa vigente y los lineamientos institucionales.</w:t>
      </w:r>
    </w:p>
    <w:p w14:paraId="05D53A1D" w14:textId="1774521B" w:rsidR="00706C42" w:rsidRPr="00706C42" w:rsidRDefault="00706C42" w:rsidP="00706C42">
      <w:pPr>
        <w:spacing w:before="100" w:beforeAutospacing="1" w:after="100" w:afterAutospacing="1" w:line="240" w:lineRule="auto"/>
        <w:jc w:val="both"/>
        <w:rPr>
          <w:rFonts w:ascii="Tahoma" w:eastAsia="Times New Roman" w:hAnsi="Tahoma" w:cs="Tahoma"/>
          <w:kern w:val="0"/>
          <w:lang w:eastAsia="es-CO"/>
          <w14:ligatures w14:val="none"/>
        </w:rPr>
      </w:pPr>
      <w:r w:rsidRPr="00706C42">
        <w:rPr>
          <w:rFonts w:ascii="Tahoma" w:eastAsia="Times New Roman" w:hAnsi="Tahoma" w:cs="Tahoma"/>
          <w:kern w:val="0"/>
          <w:lang w:eastAsia="es-CO"/>
          <w14:ligatures w14:val="none"/>
        </w:rPr>
        <w:t>El informe consolida la información registrada en el sistema</w:t>
      </w:r>
      <w:r w:rsidRPr="007D4FCB">
        <w:rPr>
          <w:rFonts w:ascii="Tahoma" w:eastAsia="Times New Roman" w:hAnsi="Tahoma" w:cs="Tahoma"/>
          <w:kern w:val="0"/>
          <w:lang w:eastAsia="es-CO"/>
          <w14:ligatures w14:val="none"/>
        </w:rPr>
        <w:t xml:space="preserve"> por mes</w:t>
      </w:r>
      <w:r w:rsidRPr="00706C42">
        <w:rPr>
          <w:rFonts w:ascii="Tahoma" w:eastAsia="Times New Roman" w:hAnsi="Tahoma" w:cs="Tahoma"/>
          <w:kern w:val="0"/>
          <w:lang w:eastAsia="es-CO"/>
          <w14:ligatures w14:val="none"/>
        </w:rPr>
        <w:t>, permitiendo evaluar el comportamiento de la gestión documental frente a la oportunidad de respuesta, niveles de cumplimiento, trazabilidad de los documentos y riesgos por vencimiento de términos. Así mismo, se identifican alertas, inconsistencias y oportunidades de mejora en la operación, aportando insumos para la toma de decisiones, la mejora continua del proceso y el fortalecimiento del servicio al ciudadano.</w:t>
      </w:r>
    </w:p>
    <w:p w14:paraId="60231851" w14:textId="77777777" w:rsidR="00706C42" w:rsidRPr="00706C42" w:rsidRDefault="00706C42" w:rsidP="00706C42">
      <w:pPr>
        <w:spacing w:before="100" w:beforeAutospacing="1" w:after="100" w:afterAutospacing="1" w:line="240" w:lineRule="auto"/>
        <w:jc w:val="both"/>
        <w:rPr>
          <w:rFonts w:ascii="Tahoma" w:eastAsia="Times New Roman" w:hAnsi="Tahoma" w:cs="Tahoma"/>
          <w:kern w:val="0"/>
          <w:lang w:eastAsia="es-CO"/>
          <w14:ligatures w14:val="none"/>
        </w:rPr>
      </w:pPr>
      <w:r w:rsidRPr="00706C42">
        <w:rPr>
          <w:rFonts w:ascii="Tahoma" w:eastAsia="Times New Roman" w:hAnsi="Tahoma" w:cs="Tahoma"/>
          <w:kern w:val="0"/>
          <w:lang w:eastAsia="es-CO"/>
          <w14:ligatures w14:val="none"/>
        </w:rPr>
        <w:t>Para el análisis se estructuraron matrices de control que permiten evidenciar el estado real de los radicados, la gestión adelantada por las dependencias responsables y el cumplimiento de los tiempos de respuesta definidos por la normativa aplicable.</w:t>
      </w:r>
    </w:p>
    <w:p w14:paraId="07035F48" w14:textId="7890C4EF" w:rsidR="00CA5A1A" w:rsidRPr="007D4FCB" w:rsidRDefault="00CA5A1A" w:rsidP="00981BFF">
      <w:pPr>
        <w:pStyle w:val="Estilo7"/>
        <w:rPr>
          <w:rFonts w:cs="Tahoma"/>
          <w:szCs w:val="22"/>
        </w:rPr>
      </w:pPr>
    </w:p>
    <w:p w14:paraId="0E0D0C6D" w14:textId="02F0B232" w:rsidR="008C493F" w:rsidRPr="007D4FCB" w:rsidRDefault="009327DD" w:rsidP="00706C42">
      <w:pPr>
        <w:pStyle w:val="Estilo7"/>
        <w:spacing w:before="0"/>
        <w:rPr>
          <w:rFonts w:cs="Tahoma"/>
          <w:szCs w:val="22"/>
        </w:rPr>
      </w:pPr>
      <w:bookmarkStart w:id="6" w:name="_Toc217384931"/>
      <w:bookmarkStart w:id="7" w:name="_Toc217385246"/>
      <w:bookmarkStart w:id="8" w:name="_Toc217393974"/>
      <w:bookmarkStart w:id="9" w:name="_Toc217394037"/>
      <w:bookmarkStart w:id="10" w:name="_Toc217394103"/>
      <w:bookmarkStart w:id="11" w:name="_Toc217394408"/>
      <w:r w:rsidRPr="007D4FCB">
        <w:rPr>
          <w:rFonts w:cs="Tahoma"/>
          <w:szCs w:val="22"/>
        </w:rPr>
        <w:t>3. PROPÓSITO</w:t>
      </w:r>
      <w:bookmarkEnd w:id="6"/>
      <w:bookmarkEnd w:id="7"/>
      <w:bookmarkEnd w:id="8"/>
      <w:bookmarkEnd w:id="9"/>
      <w:bookmarkEnd w:id="10"/>
      <w:bookmarkEnd w:id="11"/>
      <w:r w:rsidRPr="007D4FCB">
        <w:rPr>
          <w:rFonts w:cs="Tahoma"/>
          <w:szCs w:val="22"/>
        </w:rPr>
        <w:t xml:space="preserve"> </w:t>
      </w:r>
    </w:p>
    <w:p w14:paraId="66F0DFE9" w14:textId="77777777" w:rsidR="00706C42" w:rsidRPr="007D4FCB" w:rsidRDefault="00706C42" w:rsidP="00706C42">
      <w:pPr>
        <w:pStyle w:val="Estilo7"/>
        <w:spacing w:before="0"/>
        <w:rPr>
          <w:rFonts w:cs="Tahoma"/>
          <w:szCs w:val="22"/>
        </w:rPr>
      </w:pPr>
    </w:p>
    <w:p w14:paraId="6598B2B5" w14:textId="648E0B96" w:rsidR="008C493F" w:rsidRPr="007D4FCB" w:rsidRDefault="00706C42" w:rsidP="00706C42">
      <w:pPr>
        <w:jc w:val="both"/>
        <w:rPr>
          <w:rFonts w:ascii="Tahoma" w:hAnsi="Tahoma" w:cs="Tahoma"/>
          <w:kern w:val="0"/>
        </w:rPr>
      </w:pPr>
      <w:r w:rsidRPr="007D4FCB">
        <w:rPr>
          <w:rFonts w:ascii="Tahoma" w:hAnsi="Tahoma" w:cs="Tahoma"/>
        </w:rPr>
        <w:t>Establecer el seguimiento, control y análisis de la gestión de las comunicaciones oficiales y de las Peticiones, Quejas, Reclamos, Sugerencias y Denuncias (PQRSD) registradas en el SGDEA, con el fin de verificar su adecuada radicación, trámite, distribución y respuesta dentro de los términos definidos por la normatividad vigente y los lineamientos institucionales, garantizando la trazabilidad documental, la oportunidad en la atención al ciudadano y la identificación de acciones de mejora para el fortalecimiento del proceso de gestión documental.</w:t>
      </w:r>
    </w:p>
    <w:p w14:paraId="144E0466" w14:textId="2CFBA6BF" w:rsidR="009327DD" w:rsidRPr="007D4FCB" w:rsidRDefault="009327DD" w:rsidP="00706C42">
      <w:pPr>
        <w:pStyle w:val="Estilo7"/>
        <w:spacing w:before="0"/>
        <w:rPr>
          <w:rFonts w:cs="Tahoma"/>
          <w:szCs w:val="22"/>
        </w:rPr>
      </w:pPr>
      <w:bookmarkStart w:id="12" w:name="_Toc185933637"/>
      <w:bookmarkStart w:id="13" w:name="_Toc217384932"/>
      <w:bookmarkStart w:id="14" w:name="_Toc217385247"/>
      <w:bookmarkStart w:id="15" w:name="_Toc217393975"/>
      <w:bookmarkStart w:id="16" w:name="_Toc217394038"/>
      <w:bookmarkStart w:id="17" w:name="_Toc217394104"/>
      <w:bookmarkStart w:id="18" w:name="_Toc217394409"/>
      <w:r w:rsidRPr="007D4FCB">
        <w:rPr>
          <w:rFonts w:cs="Tahoma"/>
          <w:szCs w:val="22"/>
        </w:rPr>
        <w:t>4. OBJETIVO</w:t>
      </w:r>
      <w:bookmarkEnd w:id="12"/>
      <w:bookmarkEnd w:id="13"/>
      <w:bookmarkEnd w:id="14"/>
      <w:bookmarkEnd w:id="15"/>
      <w:bookmarkEnd w:id="16"/>
      <w:bookmarkEnd w:id="17"/>
      <w:bookmarkEnd w:id="18"/>
    </w:p>
    <w:p w14:paraId="4513F39F" w14:textId="77777777" w:rsidR="009327DD" w:rsidRPr="007D4FCB" w:rsidRDefault="009327DD" w:rsidP="00706C42">
      <w:pPr>
        <w:spacing w:line="240" w:lineRule="auto"/>
        <w:jc w:val="both"/>
        <w:rPr>
          <w:rFonts w:ascii="Tahoma" w:hAnsi="Tahoma" w:cs="Tahoma"/>
        </w:rPr>
      </w:pPr>
    </w:p>
    <w:p w14:paraId="3D351F1F" w14:textId="161BC1EC" w:rsidR="009327DD" w:rsidRDefault="00706C42" w:rsidP="00706C42">
      <w:pPr>
        <w:spacing w:line="240" w:lineRule="auto"/>
        <w:jc w:val="both"/>
        <w:rPr>
          <w:rFonts w:ascii="Tahoma" w:hAnsi="Tahoma" w:cs="Tahoma"/>
        </w:rPr>
      </w:pPr>
      <w:r w:rsidRPr="007D4FCB">
        <w:rPr>
          <w:rFonts w:ascii="Tahoma" w:hAnsi="Tahoma" w:cs="Tahoma"/>
        </w:rPr>
        <w:t>Consolidar y presentar la información mensual generada en el SGDEA relacionada con las comunicaciones oficiales y las PQRSD, mediante el análisis de indicadores de radicación, asignación, gestión y respuesta, que permita evaluar el cumplimiento de los tiempos establecidos, detectar desviaciones, apoyar la toma de decisiones y fortalecer la eficiencia del proceso de gestión documental y atención al ciudadano.</w:t>
      </w:r>
    </w:p>
    <w:p w14:paraId="41EB4417" w14:textId="77777777" w:rsidR="00333445" w:rsidRDefault="00333445" w:rsidP="00706C42">
      <w:pPr>
        <w:spacing w:line="240" w:lineRule="auto"/>
        <w:jc w:val="both"/>
        <w:rPr>
          <w:rFonts w:ascii="Tahoma" w:hAnsi="Tahoma" w:cs="Tahoma"/>
        </w:rPr>
      </w:pPr>
    </w:p>
    <w:p w14:paraId="6EA1B6FD" w14:textId="4095F9C5" w:rsidR="00A70855" w:rsidRPr="007D4FCB" w:rsidRDefault="00A70855" w:rsidP="00A70855">
      <w:pPr>
        <w:pStyle w:val="Estilo7"/>
        <w:spacing w:before="0"/>
        <w:rPr>
          <w:rFonts w:cs="Tahoma"/>
          <w:szCs w:val="22"/>
        </w:rPr>
      </w:pPr>
      <w:bookmarkStart w:id="19" w:name="_Toc185933639"/>
      <w:bookmarkStart w:id="20" w:name="_Toc217394106"/>
      <w:bookmarkStart w:id="21" w:name="_Toc217394411"/>
      <w:r w:rsidRPr="007D4FCB">
        <w:rPr>
          <w:rFonts w:cs="Tahoma"/>
          <w:szCs w:val="22"/>
        </w:rPr>
        <w:t>6. JUSTIFICACIÓN</w:t>
      </w:r>
      <w:bookmarkEnd w:id="19"/>
      <w:bookmarkEnd w:id="20"/>
      <w:bookmarkEnd w:id="21"/>
    </w:p>
    <w:p w14:paraId="549BCA24" w14:textId="77777777" w:rsidR="00A70855" w:rsidRPr="007D4FCB" w:rsidRDefault="00A70855" w:rsidP="00A70855">
      <w:pPr>
        <w:pStyle w:val="Estilo7"/>
        <w:spacing w:before="0"/>
        <w:rPr>
          <w:rFonts w:cs="Tahoma"/>
          <w:szCs w:val="22"/>
        </w:rPr>
      </w:pPr>
    </w:p>
    <w:p w14:paraId="537DCC8F" w14:textId="4F188374" w:rsidR="007D4FCB" w:rsidRPr="003F678F" w:rsidRDefault="007D4FCB" w:rsidP="007D4FCB">
      <w:pPr>
        <w:pStyle w:val="Ttulo"/>
        <w:rPr>
          <w:rFonts w:cs="Tahoma"/>
          <w:color w:val="00B0F0"/>
          <w:sz w:val="22"/>
          <w:szCs w:val="22"/>
        </w:rPr>
      </w:pPr>
      <w:r w:rsidRPr="003F678F">
        <w:rPr>
          <w:rFonts w:cs="Tahoma"/>
          <w:color w:val="00B0F0"/>
          <w:sz w:val="22"/>
          <w:szCs w:val="22"/>
        </w:rPr>
        <w:t xml:space="preserve">Informe de seguimiento a respuestas de solicitudes y PQRSD mes de </w:t>
      </w:r>
      <w:r w:rsidR="003F678F" w:rsidRPr="003F678F">
        <w:rPr>
          <w:rFonts w:cs="Tahoma"/>
          <w:color w:val="00B0F0"/>
          <w:sz w:val="22"/>
          <w:szCs w:val="22"/>
        </w:rPr>
        <w:t>febrero</w:t>
      </w:r>
    </w:p>
    <w:p w14:paraId="1C1D69B6" w14:textId="5A388111" w:rsidR="007D4FCB" w:rsidRPr="007D4FCB" w:rsidRDefault="003F678F" w:rsidP="007D4FCB">
      <w:pPr>
        <w:pStyle w:val="NormalWeb"/>
        <w:rPr>
          <w:rFonts w:ascii="Tahoma" w:hAnsi="Tahoma" w:cs="Tahoma"/>
          <w:sz w:val="22"/>
          <w:szCs w:val="22"/>
        </w:rPr>
      </w:pPr>
      <w:r>
        <w:rPr>
          <w:rStyle w:val="Textoennegrita"/>
          <w:rFonts w:ascii="Tahoma" w:hAnsi="Tahoma" w:cs="Tahoma"/>
          <w:sz w:val="22"/>
          <w:szCs w:val="22"/>
        </w:rPr>
        <w:t>Proceso</w:t>
      </w:r>
      <w:r w:rsidR="007D4FCB" w:rsidRPr="007D4FCB">
        <w:rPr>
          <w:rStyle w:val="Textoennegrita"/>
          <w:rFonts w:ascii="Tahoma" w:hAnsi="Tahoma" w:cs="Tahoma"/>
          <w:sz w:val="22"/>
          <w:szCs w:val="22"/>
        </w:rPr>
        <w:t>:</w:t>
      </w:r>
      <w:r w:rsidR="007D4FCB" w:rsidRPr="007D4FCB">
        <w:rPr>
          <w:rFonts w:ascii="Tahoma" w:hAnsi="Tahoma" w:cs="Tahoma"/>
          <w:sz w:val="22"/>
          <w:szCs w:val="22"/>
        </w:rPr>
        <w:t xml:space="preserve"> Registro de comunicaciones internas del equipo de gestión</w:t>
      </w:r>
      <w:r w:rsidR="00333445">
        <w:rPr>
          <w:rFonts w:ascii="Tahoma" w:hAnsi="Tahoma" w:cs="Tahoma"/>
          <w:sz w:val="22"/>
          <w:szCs w:val="22"/>
        </w:rPr>
        <w:t xml:space="preserve"> Documental y Biblioteca</w:t>
      </w:r>
      <w:r w:rsidR="007D4FCB" w:rsidRPr="007D4FCB">
        <w:rPr>
          <w:rFonts w:ascii="Tahoma" w:hAnsi="Tahoma" w:cs="Tahoma"/>
          <w:sz w:val="22"/>
          <w:szCs w:val="22"/>
        </w:rPr>
        <w:br/>
      </w:r>
      <w:r w:rsidR="007D4FCB" w:rsidRPr="007D4FCB">
        <w:rPr>
          <w:rStyle w:val="Textoennegrita"/>
          <w:rFonts w:ascii="Tahoma" w:hAnsi="Tahoma" w:cs="Tahoma"/>
          <w:sz w:val="22"/>
          <w:szCs w:val="22"/>
        </w:rPr>
        <w:t>Periodo analizado:</w:t>
      </w:r>
      <w:r w:rsidR="007D4FCB" w:rsidRPr="007D4FCB">
        <w:rPr>
          <w:rFonts w:ascii="Tahoma" w:hAnsi="Tahoma" w:cs="Tahoma"/>
          <w:sz w:val="22"/>
          <w:szCs w:val="22"/>
        </w:rPr>
        <w:t xml:space="preserve"> </w:t>
      </w:r>
      <w:r w:rsidR="007D4FCB">
        <w:rPr>
          <w:rFonts w:ascii="Tahoma" w:hAnsi="Tahoma" w:cs="Tahoma"/>
          <w:sz w:val="22"/>
          <w:szCs w:val="22"/>
        </w:rPr>
        <w:t>03</w:t>
      </w:r>
      <w:r w:rsidR="007D4FCB" w:rsidRPr="007D4FCB">
        <w:rPr>
          <w:rFonts w:ascii="Tahoma" w:hAnsi="Tahoma" w:cs="Tahoma"/>
          <w:sz w:val="22"/>
          <w:szCs w:val="22"/>
        </w:rPr>
        <w:t xml:space="preserve"> al 25 de febrero de 2026</w:t>
      </w:r>
      <w:r w:rsidR="007D4FCB">
        <w:rPr>
          <w:rFonts w:ascii="Tahoma" w:hAnsi="Tahoma" w:cs="Tahoma"/>
          <w:sz w:val="22"/>
          <w:szCs w:val="22"/>
        </w:rPr>
        <w:t xml:space="preserve"> para el grupo de Gestión Documental y Biblioteca</w:t>
      </w:r>
      <w:r w:rsidR="007D4FCB" w:rsidRPr="007D4FCB">
        <w:rPr>
          <w:rFonts w:ascii="Tahoma" w:hAnsi="Tahoma" w:cs="Tahoma"/>
          <w:sz w:val="22"/>
          <w:szCs w:val="22"/>
        </w:rPr>
        <w:br/>
      </w:r>
      <w:r w:rsidR="007D4FCB" w:rsidRPr="007D4FCB">
        <w:rPr>
          <w:rStyle w:val="Textoennegrita"/>
          <w:rFonts w:ascii="Tahoma" w:hAnsi="Tahoma" w:cs="Tahoma"/>
          <w:sz w:val="22"/>
          <w:szCs w:val="22"/>
        </w:rPr>
        <w:t>Sistema asociado:</w:t>
      </w:r>
      <w:r w:rsidR="007D4FCB" w:rsidRPr="007D4FCB">
        <w:rPr>
          <w:rFonts w:ascii="Tahoma" w:hAnsi="Tahoma" w:cs="Tahoma"/>
          <w:sz w:val="22"/>
          <w:szCs w:val="22"/>
        </w:rPr>
        <w:t xml:space="preserve"> SOADOC – SGDEA</w:t>
      </w:r>
    </w:p>
    <w:p w14:paraId="0904B5D7"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1. Introducción</w:t>
      </w:r>
    </w:p>
    <w:p w14:paraId="14C0BE91"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El presente informe consolida las situaciones evidenciadas durante el seguimiento operativo al trámite de comunicaciones oficiales y PQRSD, con base en las interacciones del equipo de trabajo. El análisis permite identificar inconsistencias en la asociación de respuestas, vencimientos reportados, prácticas de radicación y oportunidades de mejora en la gestión del sistema.</w:t>
      </w:r>
    </w:p>
    <w:p w14:paraId="6EB4549E"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2. Hallazgos principales</w:t>
      </w:r>
    </w:p>
    <w:p w14:paraId="171F332D"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2.1 Inconsistencias en la asociación de respuestas</w:t>
      </w:r>
    </w:p>
    <w:p w14:paraId="22FB0FE7"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Se evidenció reiteradamente que varias solicitudes tenían respuesta elaborada, pero no asociada en el sistema, lo que ocasionó:</w:t>
      </w:r>
    </w:p>
    <w:p w14:paraId="149DE07F" w14:textId="77777777" w:rsidR="007D4FCB" w:rsidRPr="007D4FCB" w:rsidRDefault="007D4FCB" w:rsidP="00757B08">
      <w:pPr>
        <w:pStyle w:val="NormalWeb"/>
        <w:numPr>
          <w:ilvl w:val="0"/>
          <w:numId w:val="1"/>
        </w:numPr>
        <w:rPr>
          <w:rFonts w:ascii="Tahoma" w:hAnsi="Tahoma" w:cs="Tahoma"/>
          <w:sz w:val="22"/>
          <w:szCs w:val="22"/>
        </w:rPr>
      </w:pPr>
      <w:r w:rsidRPr="007D4FCB">
        <w:rPr>
          <w:rFonts w:ascii="Tahoma" w:hAnsi="Tahoma" w:cs="Tahoma"/>
          <w:sz w:val="22"/>
          <w:szCs w:val="22"/>
        </w:rPr>
        <w:t>Reportes de vencimiento en la matriz de seguimiento.</w:t>
      </w:r>
    </w:p>
    <w:p w14:paraId="07BA17DF" w14:textId="77777777" w:rsidR="007D4FCB" w:rsidRPr="007D4FCB" w:rsidRDefault="007D4FCB" w:rsidP="00757B08">
      <w:pPr>
        <w:pStyle w:val="NormalWeb"/>
        <w:numPr>
          <w:ilvl w:val="0"/>
          <w:numId w:val="1"/>
        </w:numPr>
        <w:rPr>
          <w:rFonts w:ascii="Tahoma" w:hAnsi="Tahoma" w:cs="Tahoma"/>
          <w:sz w:val="22"/>
          <w:szCs w:val="22"/>
        </w:rPr>
      </w:pPr>
      <w:r w:rsidRPr="007D4FCB">
        <w:rPr>
          <w:rFonts w:ascii="Tahoma" w:hAnsi="Tahoma" w:cs="Tahoma"/>
          <w:sz w:val="22"/>
          <w:szCs w:val="22"/>
        </w:rPr>
        <w:t>Imposibilidad de visualizar la gestión realizada.</w:t>
      </w:r>
    </w:p>
    <w:p w14:paraId="09326E2D" w14:textId="77777777" w:rsidR="007D4FCB" w:rsidRPr="007D4FCB" w:rsidRDefault="007D4FCB" w:rsidP="00757B08">
      <w:pPr>
        <w:pStyle w:val="NormalWeb"/>
        <w:numPr>
          <w:ilvl w:val="0"/>
          <w:numId w:val="1"/>
        </w:numPr>
        <w:rPr>
          <w:rFonts w:ascii="Tahoma" w:hAnsi="Tahoma" w:cs="Tahoma"/>
          <w:sz w:val="22"/>
          <w:szCs w:val="22"/>
        </w:rPr>
      </w:pPr>
      <w:r w:rsidRPr="007D4FCB">
        <w:rPr>
          <w:rFonts w:ascii="Tahoma" w:hAnsi="Tahoma" w:cs="Tahoma"/>
          <w:sz w:val="22"/>
          <w:szCs w:val="22"/>
        </w:rPr>
        <w:t>Indicadores incompletos.</w:t>
      </w:r>
    </w:p>
    <w:p w14:paraId="6EB9759C"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Casos observados:</w:t>
      </w:r>
    </w:p>
    <w:p w14:paraId="5BE1C387" w14:textId="77777777" w:rsidR="007D4FCB" w:rsidRPr="007D4FCB" w:rsidRDefault="007D4FCB" w:rsidP="00757B08">
      <w:pPr>
        <w:pStyle w:val="NormalWeb"/>
        <w:numPr>
          <w:ilvl w:val="0"/>
          <w:numId w:val="2"/>
        </w:numPr>
        <w:rPr>
          <w:rFonts w:ascii="Tahoma" w:hAnsi="Tahoma" w:cs="Tahoma"/>
          <w:sz w:val="22"/>
          <w:szCs w:val="22"/>
        </w:rPr>
      </w:pPr>
      <w:r w:rsidRPr="007D4FCB">
        <w:rPr>
          <w:rFonts w:ascii="Tahoma" w:hAnsi="Tahoma" w:cs="Tahoma"/>
          <w:sz w:val="22"/>
          <w:szCs w:val="22"/>
        </w:rPr>
        <w:t>Solicitudes respondidas sin radicado o sin fecha registrada.</w:t>
      </w:r>
    </w:p>
    <w:p w14:paraId="7F16F492" w14:textId="77777777" w:rsidR="007D4FCB" w:rsidRPr="007D4FCB" w:rsidRDefault="007D4FCB" w:rsidP="00757B08">
      <w:pPr>
        <w:pStyle w:val="NormalWeb"/>
        <w:numPr>
          <w:ilvl w:val="0"/>
          <w:numId w:val="2"/>
        </w:numPr>
        <w:rPr>
          <w:rFonts w:ascii="Tahoma" w:hAnsi="Tahoma" w:cs="Tahoma"/>
          <w:sz w:val="22"/>
          <w:szCs w:val="22"/>
        </w:rPr>
      </w:pPr>
      <w:r w:rsidRPr="007D4FCB">
        <w:rPr>
          <w:rFonts w:ascii="Tahoma" w:hAnsi="Tahoma" w:cs="Tahoma"/>
          <w:sz w:val="22"/>
          <w:szCs w:val="22"/>
        </w:rPr>
        <w:t>Respuestas elaboradas mediante oficio, pero no vinculadas en SOADOC.</w:t>
      </w:r>
    </w:p>
    <w:p w14:paraId="2EB17FC6" w14:textId="7A81F7BC" w:rsidR="007D4FCB" w:rsidRPr="007D4FCB" w:rsidRDefault="007D4FCB" w:rsidP="00757B08">
      <w:pPr>
        <w:pStyle w:val="NormalWeb"/>
        <w:numPr>
          <w:ilvl w:val="0"/>
          <w:numId w:val="2"/>
        </w:numPr>
        <w:rPr>
          <w:rFonts w:ascii="Tahoma" w:hAnsi="Tahoma" w:cs="Tahoma"/>
          <w:sz w:val="22"/>
          <w:szCs w:val="22"/>
        </w:rPr>
      </w:pPr>
      <w:r w:rsidRPr="007D4FCB">
        <w:rPr>
          <w:rFonts w:ascii="Tahoma" w:hAnsi="Tahoma" w:cs="Tahoma"/>
          <w:sz w:val="22"/>
          <w:szCs w:val="22"/>
        </w:rPr>
        <w:t>Acuses de recibidos cargados en lugar de la respuesta formal.</w:t>
      </w:r>
    </w:p>
    <w:p w14:paraId="6A7F96C9" w14:textId="7A3192B3"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Una vez solicitada la verificación, algunos funcionarios confirmaron que la respuesta existía, pero no estaba asociada correctamente, y posteriormente remitieron los números de radicado para actualización.</w:t>
      </w:r>
    </w:p>
    <w:p w14:paraId="15A13ACB"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2.2 Solicitudes inicialmente reportadas como vencidas</w:t>
      </w:r>
    </w:p>
    <w:p w14:paraId="65593EC8"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Durante la revisión semanal se identificaron peticiones marcadas como vencidas que realmente habían sido contestadas oportunamente, pero sin asociación en el sistema.</w:t>
      </w:r>
    </w:p>
    <w:p w14:paraId="2BCA71F9"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Ejemplos reportados:</w:t>
      </w:r>
    </w:p>
    <w:p w14:paraId="108325D7" w14:textId="77777777" w:rsidR="007D4FCB" w:rsidRPr="007D4FCB" w:rsidRDefault="007D4FCB" w:rsidP="00757B08">
      <w:pPr>
        <w:pStyle w:val="NormalWeb"/>
        <w:numPr>
          <w:ilvl w:val="0"/>
          <w:numId w:val="3"/>
        </w:numPr>
        <w:rPr>
          <w:rFonts w:ascii="Tahoma" w:hAnsi="Tahoma" w:cs="Tahoma"/>
          <w:sz w:val="22"/>
          <w:szCs w:val="22"/>
        </w:rPr>
      </w:pPr>
      <w:r w:rsidRPr="007D4FCB">
        <w:rPr>
          <w:rFonts w:ascii="Tahoma" w:hAnsi="Tahoma" w:cs="Tahoma"/>
          <w:sz w:val="22"/>
          <w:szCs w:val="22"/>
        </w:rPr>
        <w:t>Radicados con respuesta previa al vencimiento.</w:t>
      </w:r>
    </w:p>
    <w:p w14:paraId="124F6E6B" w14:textId="77777777" w:rsidR="007D4FCB" w:rsidRPr="007D4FCB" w:rsidRDefault="007D4FCB" w:rsidP="00757B08">
      <w:pPr>
        <w:pStyle w:val="NormalWeb"/>
        <w:numPr>
          <w:ilvl w:val="0"/>
          <w:numId w:val="3"/>
        </w:numPr>
        <w:rPr>
          <w:rFonts w:ascii="Tahoma" w:hAnsi="Tahoma" w:cs="Tahoma"/>
          <w:sz w:val="22"/>
          <w:szCs w:val="22"/>
        </w:rPr>
      </w:pPr>
      <w:r w:rsidRPr="007D4FCB">
        <w:rPr>
          <w:rFonts w:ascii="Tahoma" w:hAnsi="Tahoma" w:cs="Tahoma"/>
          <w:sz w:val="22"/>
          <w:szCs w:val="22"/>
        </w:rPr>
        <w:t>Respuestas parciales no registradas.</w:t>
      </w:r>
    </w:p>
    <w:p w14:paraId="0C4BB306" w14:textId="77777777" w:rsidR="007D4FCB" w:rsidRPr="007D4FCB" w:rsidRDefault="007D4FCB" w:rsidP="00757B08">
      <w:pPr>
        <w:pStyle w:val="NormalWeb"/>
        <w:numPr>
          <w:ilvl w:val="0"/>
          <w:numId w:val="3"/>
        </w:numPr>
        <w:rPr>
          <w:rFonts w:ascii="Tahoma" w:hAnsi="Tahoma" w:cs="Tahoma"/>
          <w:sz w:val="22"/>
          <w:szCs w:val="22"/>
        </w:rPr>
      </w:pPr>
      <w:r w:rsidRPr="007D4FCB">
        <w:rPr>
          <w:rFonts w:ascii="Tahoma" w:hAnsi="Tahoma" w:cs="Tahoma"/>
          <w:sz w:val="22"/>
          <w:szCs w:val="22"/>
        </w:rPr>
        <w:t>Radicados corregidos posteriormente tras validación.</w:t>
      </w:r>
    </w:p>
    <w:p w14:paraId="4F1FB0D7"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Esto confirma que el principal problema no fue la falta de gestión sino el registro incompleto en la herramienta.</w:t>
      </w:r>
    </w:p>
    <w:p w14:paraId="0007112B"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2.3 Radicación fuera de horarios operativos</w:t>
      </w:r>
    </w:p>
    <w:p w14:paraId="2A2A4AAE"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Se detectó que varias comunicaciones se estaban radicando en horarios nocturnos, generando reprocesos y retrasos en la distribución.</w:t>
      </w:r>
    </w:p>
    <w:p w14:paraId="337FC78F"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Lineamientos recordados al equipo:</w:t>
      </w:r>
    </w:p>
    <w:p w14:paraId="481791F7" w14:textId="77777777" w:rsidR="007D4FCB" w:rsidRPr="007D4FCB" w:rsidRDefault="007D4FCB" w:rsidP="00757B08">
      <w:pPr>
        <w:pStyle w:val="NormalWeb"/>
        <w:numPr>
          <w:ilvl w:val="0"/>
          <w:numId w:val="4"/>
        </w:numPr>
        <w:rPr>
          <w:rFonts w:ascii="Tahoma" w:hAnsi="Tahoma" w:cs="Tahoma"/>
          <w:sz w:val="22"/>
          <w:szCs w:val="22"/>
        </w:rPr>
      </w:pPr>
      <w:r w:rsidRPr="007D4FCB">
        <w:rPr>
          <w:rFonts w:ascii="Tahoma" w:hAnsi="Tahoma" w:cs="Tahoma"/>
          <w:sz w:val="22"/>
          <w:szCs w:val="22"/>
        </w:rPr>
        <w:t>Comunicaciones recibidas antes de las 3:00 p.m. deben quedar radicadas el mismo día antes de las 5:00 p.m.</w:t>
      </w:r>
    </w:p>
    <w:p w14:paraId="4B47827A" w14:textId="77777777" w:rsidR="007D4FCB" w:rsidRPr="007D4FCB" w:rsidRDefault="007D4FCB" w:rsidP="00757B08">
      <w:pPr>
        <w:pStyle w:val="NormalWeb"/>
        <w:numPr>
          <w:ilvl w:val="0"/>
          <w:numId w:val="4"/>
        </w:numPr>
        <w:rPr>
          <w:rFonts w:ascii="Tahoma" w:hAnsi="Tahoma" w:cs="Tahoma"/>
          <w:sz w:val="22"/>
          <w:szCs w:val="22"/>
        </w:rPr>
      </w:pPr>
      <w:r w:rsidRPr="007D4FCB">
        <w:rPr>
          <w:rFonts w:ascii="Tahoma" w:hAnsi="Tahoma" w:cs="Tahoma"/>
          <w:sz w:val="22"/>
          <w:szCs w:val="22"/>
        </w:rPr>
        <w:t>Después de ese horario se radican al día siguiente.</w:t>
      </w:r>
    </w:p>
    <w:p w14:paraId="116562AE" w14:textId="77777777" w:rsidR="007D4FCB" w:rsidRPr="007D4FCB" w:rsidRDefault="007D4FCB" w:rsidP="00757B08">
      <w:pPr>
        <w:pStyle w:val="NormalWeb"/>
        <w:numPr>
          <w:ilvl w:val="0"/>
          <w:numId w:val="4"/>
        </w:numPr>
        <w:rPr>
          <w:rFonts w:ascii="Tahoma" w:hAnsi="Tahoma" w:cs="Tahoma"/>
          <w:sz w:val="22"/>
          <w:szCs w:val="22"/>
        </w:rPr>
      </w:pPr>
      <w:r w:rsidRPr="007D4FCB">
        <w:rPr>
          <w:rFonts w:ascii="Tahoma" w:hAnsi="Tahoma" w:cs="Tahoma"/>
          <w:sz w:val="22"/>
          <w:szCs w:val="22"/>
        </w:rPr>
        <w:t>Se evidenció deficiente administración del tiempo de jornada.</w:t>
      </w:r>
    </w:p>
    <w:p w14:paraId="5CF92A8D"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2.4 Falta de números de radicado oportunos</w:t>
      </w:r>
    </w:p>
    <w:p w14:paraId="5DE2520A"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Se presentaron múltiples solicitudes internas urgentes para obtener números de radicación debido a:</w:t>
      </w:r>
    </w:p>
    <w:p w14:paraId="4E723C46" w14:textId="77777777" w:rsidR="007D4FCB" w:rsidRPr="007D4FCB" w:rsidRDefault="007D4FCB" w:rsidP="00757B08">
      <w:pPr>
        <w:pStyle w:val="NormalWeb"/>
        <w:numPr>
          <w:ilvl w:val="0"/>
          <w:numId w:val="5"/>
        </w:numPr>
        <w:rPr>
          <w:rFonts w:ascii="Tahoma" w:hAnsi="Tahoma" w:cs="Tahoma"/>
          <w:sz w:val="22"/>
          <w:szCs w:val="22"/>
        </w:rPr>
      </w:pPr>
      <w:r w:rsidRPr="007D4FCB">
        <w:rPr>
          <w:rFonts w:ascii="Tahoma" w:hAnsi="Tahoma" w:cs="Tahoma"/>
          <w:sz w:val="22"/>
          <w:szCs w:val="22"/>
        </w:rPr>
        <w:t>Comunicaciones enviadas sin confirmación.</w:t>
      </w:r>
    </w:p>
    <w:p w14:paraId="0F7F1FD3" w14:textId="77777777" w:rsidR="007D4FCB" w:rsidRPr="007D4FCB" w:rsidRDefault="007D4FCB" w:rsidP="00757B08">
      <w:pPr>
        <w:pStyle w:val="NormalWeb"/>
        <w:numPr>
          <w:ilvl w:val="0"/>
          <w:numId w:val="5"/>
        </w:numPr>
        <w:rPr>
          <w:rFonts w:ascii="Tahoma" w:hAnsi="Tahoma" w:cs="Tahoma"/>
          <w:sz w:val="22"/>
          <w:szCs w:val="22"/>
        </w:rPr>
      </w:pPr>
      <w:r w:rsidRPr="007D4FCB">
        <w:rPr>
          <w:rFonts w:ascii="Tahoma" w:hAnsi="Tahoma" w:cs="Tahoma"/>
          <w:sz w:val="22"/>
          <w:szCs w:val="22"/>
        </w:rPr>
        <w:t>Documentos en trámite sin trazabilidad.</w:t>
      </w:r>
    </w:p>
    <w:p w14:paraId="1AF4A5B1" w14:textId="77777777" w:rsidR="007D4FCB" w:rsidRPr="007D4FCB" w:rsidRDefault="007D4FCB" w:rsidP="00757B08">
      <w:pPr>
        <w:pStyle w:val="NormalWeb"/>
        <w:numPr>
          <w:ilvl w:val="0"/>
          <w:numId w:val="5"/>
        </w:numPr>
        <w:rPr>
          <w:rFonts w:ascii="Tahoma" w:hAnsi="Tahoma" w:cs="Tahoma"/>
          <w:sz w:val="22"/>
          <w:szCs w:val="22"/>
        </w:rPr>
      </w:pPr>
      <w:r w:rsidRPr="007D4FCB">
        <w:rPr>
          <w:rFonts w:ascii="Tahoma" w:hAnsi="Tahoma" w:cs="Tahoma"/>
          <w:sz w:val="22"/>
          <w:szCs w:val="22"/>
        </w:rPr>
        <w:t>Necesidad de consolidar informes.</w:t>
      </w:r>
    </w:p>
    <w:p w14:paraId="2D5F6A9F"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3. Acciones realizadas durante el seguimiento</w:t>
      </w:r>
    </w:p>
    <w:p w14:paraId="408A2A0E"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Durante el periodo se ejecutaron las siguientes actividades correctivas:</w:t>
      </w:r>
    </w:p>
    <w:p w14:paraId="0F7C4231"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Solicitud de radicados de respuesta a los responsables.</w:t>
      </w:r>
    </w:p>
    <w:p w14:paraId="2D0402E1"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Validación manual de cada solicitud en el sistema.</w:t>
      </w:r>
    </w:p>
    <w:p w14:paraId="0DEF4A9B"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Corrección de dos radicados pendientes.</w:t>
      </w:r>
    </w:p>
    <w:p w14:paraId="300DE01F"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Ajuste de la matriz de seguimiento.</w:t>
      </w:r>
    </w:p>
    <w:p w14:paraId="1F5BC780"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Recordatorio de procedimientos de radicación.</w:t>
      </w:r>
    </w:p>
    <w:p w14:paraId="1F0142DB"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Priorización de solicitudes vencidas.</w:t>
      </w:r>
    </w:p>
    <w:p w14:paraId="0E6E9EBB"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Verificación individual de trazabilidad.</w:t>
      </w:r>
    </w:p>
    <w:p w14:paraId="696FE7B0" w14:textId="77777777" w:rsidR="007D4FCB" w:rsidRPr="00815BE0" w:rsidRDefault="007D4FCB" w:rsidP="007D4FCB">
      <w:pPr>
        <w:pStyle w:val="Ttulo3"/>
        <w:rPr>
          <w:rFonts w:ascii="Tahoma" w:hAnsi="Tahoma" w:cs="Tahoma"/>
          <w:b/>
          <w:bCs/>
          <w:color w:val="000000" w:themeColor="text1"/>
          <w:sz w:val="22"/>
          <w:szCs w:val="22"/>
        </w:rPr>
      </w:pPr>
      <w:r w:rsidRPr="00815BE0">
        <w:rPr>
          <w:rFonts w:ascii="Tahoma" w:hAnsi="Tahoma" w:cs="Tahoma"/>
          <w:b/>
          <w:bCs/>
          <w:color w:val="000000" w:themeColor="text1"/>
          <w:sz w:val="22"/>
          <w:szCs w:val="22"/>
        </w:rPr>
        <w:t>4. Análisis</w:t>
      </w:r>
    </w:p>
    <w:p w14:paraId="0518448D"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La mayor parte de los reportes de incumplimiento no correspondieron a falta de respuesta sino a fallas en el registro dentro del sistema.</w:t>
      </w:r>
      <w:r w:rsidRPr="007D4FCB">
        <w:rPr>
          <w:rFonts w:ascii="Tahoma" w:hAnsi="Tahoma" w:cs="Tahoma"/>
          <w:sz w:val="22"/>
          <w:szCs w:val="22"/>
        </w:rPr>
        <w:br/>
        <w:t xml:space="preserve">El problema principal identificado es </w:t>
      </w:r>
      <w:r w:rsidRPr="007D4FCB">
        <w:rPr>
          <w:rStyle w:val="Textoennegrita"/>
          <w:rFonts w:ascii="Tahoma" w:hAnsi="Tahoma" w:cs="Tahoma"/>
          <w:sz w:val="22"/>
          <w:szCs w:val="22"/>
        </w:rPr>
        <w:t>operativo y de uso del sistema</w:t>
      </w:r>
      <w:r w:rsidRPr="007D4FCB">
        <w:rPr>
          <w:rFonts w:ascii="Tahoma" w:hAnsi="Tahoma" w:cs="Tahoma"/>
          <w:sz w:val="22"/>
          <w:szCs w:val="22"/>
        </w:rPr>
        <w:t>, no necesariamente de gestión documental.</w:t>
      </w:r>
    </w:p>
    <w:p w14:paraId="0F0A8122"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Impactos:</w:t>
      </w:r>
    </w:p>
    <w:p w14:paraId="2108B9C3"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Indicadores inexactos</w:t>
      </w:r>
    </w:p>
    <w:p w14:paraId="66CB4175"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Percepción de incumplimiento</w:t>
      </w:r>
    </w:p>
    <w:p w14:paraId="1E9B1A9F"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Riesgo en seguimiento institucional</w:t>
      </w:r>
    </w:p>
    <w:p w14:paraId="3F58F591"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Reprocesos administrativos</w:t>
      </w:r>
    </w:p>
    <w:p w14:paraId="4CBB0220"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5. Conclusiones</w:t>
      </w:r>
    </w:p>
    <w:p w14:paraId="3D4D67DB" w14:textId="011B5992"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 xml:space="preserve">La causa </w:t>
      </w:r>
      <w:r w:rsidR="00815BE0" w:rsidRPr="007D4FCB">
        <w:rPr>
          <w:rFonts w:ascii="Tahoma" w:hAnsi="Tahoma" w:cs="Tahoma"/>
          <w:sz w:val="22"/>
          <w:szCs w:val="22"/>
        </w:rPr>
        <w:t>superior</w:t>
      </w:r>
      <w:r w:rsidRPr="007D4FCB">
        <w:rPr>
          <w:rFonts w:ascii="Tahoma" w:hAnsi="Tahoma" w:cs="Tahoma"/>
          <w:sz w:val="22"/>
          <w:szCs w:val="22"/>
        </w:rPr>
        <w:t xml:space="preserve"> de vencimientos reportados es la no asociación de la respuesta en el sistema.</w:t>
      </w:r>
    </w:p>
    <w:p w14:paraId="5D961B6B"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Existe desconocimiento o incumplimiento del flujo correcto de registro documental.</w:t>
      </w:r>
    </w:p>
    <w:p w14:paraId="62A6B00F"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Se presentan prácticas inadecuadas de radicación en horarios no operativos.</w:t>
      </w:r>
    </w:p>
    <w:p w14:paraId="2FBD27A3"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La matriz de seguimiento depende totalmente del registro correcto en SOADOC.</w:t>
      </w:r>
    </w:p>
    <w:p w14:paraId="06A6592E"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Se requiere fortalecer disciplina operativa más que capacidad de respuesta.</w:t>
      </w:r>
    </w:p>
    <w:p w14:paraId="4BD91C2A"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6. Recomendaciones</w:t>
      </w:r>
    </w:p>
    <w:p w14:paraId="631A628E"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Asociar siempre el radicado de salida a la solicitud inmediatamente después de responder.</w:t>
      </w:r>
    </w:p>
    <w:p w14:paraId="0643BFA0"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No considerar como finalizada una solicitud hasta que esté vinculada en el sistema.</w:t>
      </w:r>
    </w:p>
    <w:p w14:paraId="701B0F06"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Radicar dentro del horario operativo institucional.</w:t>
      </w:r>
    </w:p>
    <w:p w14:paraId="591C5855"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Validar diariamente solicitudes próximas a vencer.</w:t>
      </w:r>
    </w:p>
    <w:p w14:paraId="2F759829"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Estandarizar un control previo al cierre de jornada.</w:t>
      </w:r>
    </w:p>
    <w:p w14:paraId="102C4F3D" w14:textId="77777777" w:rsidR="00815BE0" w:rsidRDefault="007D4FCB" w:rsidP="007D4FCB">
      <w:pPr>
        <w:pStyle w:val="NormalWeb"/>
        <w:rPr>
          <w:rStyle w:val="Textoennegrita"/>
          <w:rFonts w:ascii="Tahoma" w:hAnsi="Tahoma" w:cs="Tahoma"/>
          <w:sz w:val="22"/>
          <w:szCs w:val="22"/>
        </w:rPr>
      </w:pPr>
      <w:r w:rsidRPr="007D4FCB">
        <w:rPr>
          <w:rStyle w:val="Textoennegrita"/>
          <w:rFonts w:ascii="Tahoma" w:hAnsi="Tahoma" w:cs="Tahoma"/>
          <w:sz w:val="22"/>
          <w:szCs w:val="22"/>
        </w:rPr>
        <w:t>Resultado general del seguimiento:</w:t>
      </w:r>
    </w:p>
    <w:p w14:paraId="3D6F9191" w14:textId="0D026F76" w:rsidR="007D4FCB" w:rsidRDefault="007D4FCB" w:rsidP="007D4FCB">
      <w:pPr>
        <w:pStyle w:val="NormalWeb"/>
        <w:rPr>
          <w:rFonts w:ascii="Tahoma" w:hAnsi="Tahoma" w:cs="Tahoma"/>
          <w:sz w:val="22"/>
          <w:szCs w:val="22"/>
        </w:rPr>
      </w:pPr>
      <w:r w:rsidRPr="007D4FCB">
        <w:rPr>
          <w:rFonts w:ascii="Tahoma" w:hAnsi="Tahoma" w:cs="Tahoma"/>
          <w:sz w:val="22"/>
          <w:szCs w:val="22"/>
        </w:rPr>
        <w:t>Se evidencian respuestas realizadas, pero no registradas adecuadamente, lo que genera vencimientos aparentes y afecta los reportes institucionales. La mejora principal debe enfocarse en el registro oportuno dentro del sistema.</w:t>
      </w:r>
    </w:p>
    <w:p w14:paraId="245709E0" w14:textId="1B5C8557" w:rsidR="003923C3" w:rsidRPr="003923C3" w:rsidRDefault="003923C3" w:rsidP="003923C3">
      <w:pPr>
        <w:spacing w:before="100" w:beforeAutospacing="1" w:after="100" w:afterAutospacing="1" w:line="240" w:lineRule="auto"/>
        <w:jc w:val="both"/>
        <w:rPr>
          <w:rFonts w:ascii="Tahoma" w:eastAsia="Times New Roman" w:hAnsi="Tahoma" w:cs="Tahoma"/>
          <w:kern w:val="0"/>
          <w:lang w:eastAsia="es-CO"/>
          <w14:ligatures w14:val="none"/>
        </w:rPr>
      </w:pPr>
      <w:r w:rsidRPr="003923C3">
        <w:rPr>
          <w:rFonts w:ascii="Tahoma" w:eastAsia="Times New Roman" w:hAnsi="Tahoma" w:cs="Tahoma"/>
          <w:kern w:val="0"/>
          <w:lang w:eastAsia="es-CO"/>
          <w14:ligatures w14:val="none"/>
        </w:rPr>
        <w:t xml:space="preserve">En relación con lo anterior, se formula un plan de mejoramiento mediante el cual el funcionario </w:t>
      </w:r>
      <w:proofErr w:type="spellStart"/>
      <w:r w:rsidRPr="003923C3">
        <w:rPr>
          <w:rFonts w:ascii="Tahoma" w:eastAsia="Times New Roman" w:hAnsi="Tahoma" w:cs="Tahoma"/>
          <w:kern w:val="0"/>
          <w:lang w:eastAsia="es-CO"/>
          <w14:ligatures w14:val="none"/>
        </w:rPr>
        <w:t>Jhonnattan</w:t>
      </w:r>
      <w:proofErr w:type="spellEnd"/>
      <w:r w:rsidRPr="003923C3">
        <w:rPr>
          <w:rFonts w:ascii="Tahoma" w:eastAsia="Times New Roman" w:hAnsi="Tahoma" w:cs="Tahoma"/>
          <w:kern w:val="0"/>
          <w:lang w:eastAsia="es-CO"/>
          <w14:ligatures w14:val="none"/>
        </w:rPr>
        <w:t xml:space="preserve"> Rodríguez elabora una matriz de control denominada </w:t>
      </w:r>
      <w:hyperlink r:id="rId13" w:history="1">
        <w:r w:rsidRPr="003923C3">
          <w:rPr>
            <w:rStyle w:val="Hipervnculo"/>
          </w:rPr>
          <w:t>PQRDS CONTINGENCIA 2026.xlsx</w:t>
        </w:r>
      </w:hyperlink>
      <w:r w:rsidRPr="003923C3">
        <w:t xml:space="preserve"> </w:t>
      </w:r>
      <w:r w:rsidRPr="003923C3">
        <w:rPr>
          <w:rFonts w:ascii="Tahoma" w:eastAsia="Times New Roman" w:hAnsi="Tahoma" w:cs="Tahoma"/>
          <w:kern w:val="0"/>
          <w:lang w:eastAsia="es-CO"/>
          <w14:ligatures w14:val="none"/>
        </w:rPr>
        <w:t>orientada al seguimiento de las peticiones reportadas como vencidas dentro del proceso.</w:t>
      </w:r>
    </w:p>
    <w:p w14:paraId="3A228A3A" w14:textId="2DE3C57B" w:rsidR="003923C3" w:rsidRPr="003923C3" w:rsidRDefault="003923C3" w:rsidP="003923C3">
      <w:pPr>
        <w:spacing w:before="100" w:beforeAutospacing="1" w:after="100" w:afterAutospacing="1" w:line="240" w:lineRule="auto"/>
        <w:jc w:val="both"/>
        <w:rPr>
          <w:rFonts w:ascii="Tahoma" w:eastAsia="Times New Roman" w:hAnsi="Tahoma" w:cs="Tahoma"/>
          <w:kern w:val="0"/>
          <w:lang w:eastAsia="es-CO"/>
          <w14:ligatures w14:val="none"/>
        </w:rPr>
      </w:pPr>
      <w:r w:rsidRPr="003923C3">
        <w:rPr>
          <w:rFonts w:ascii="Tahoma" w:eastAsia="Times New Roman" w:hAnsi="Tahoma" w:cs="Tahoma"/>
          <w:kern w:val="0"/>
          <w:lang w:eastAsia="es-CO"/>
          <w14:ligatures w14:val="none"/>
        </w:rPr>
        <w:t xml:space="preserve">Una vez identificadas las incidencias, la contratista Angelica Acuña </w:t>
      </w:r>
      <w:r>
        <w:rPr>
          <w:rFonts w:ascii="Tahoma" w:eastAsia="Times New Roman" w:hAnsi="Tahoma" w:cs="Tahoma"/>
          <w:kern w:val="0"/>
          <w:lang w:eastAsia="es-CO"/>
          <w14:ligatures w14:val="none"/>
        </w:rPr>
        <w:t xml:space="preserve">o el líder del proceso </w:t>
      </w:r>
      <w:r w:rsidR="00333445">
        <w:rPr>
          <w:rFonts w:ascii="Tahoma" w:eastAsia="Times New Roman" w:hAnsi="Tahoma" w:cs="Tahoma"/>
          <w:kern w:val="0"/>
          <w:lang w:eastAsia="es-CO"/>
          <w14:ligatures w14:val="none"/>
        </w:rPr>
        <w:t>el funcionario</w:t>
      </w:r>
      <w:r>
        <w:rPr>
          <w:rFonts w:ascii="Tahoma" w:eastAsia="Times New Roman" w:hAnsi="Tahoma" w:cs="Tahoma"/>
          <w:kern w:val="0"/>
          <w:lang w:eastAsia="es-CO"/>
          <w14:ligatures w14:val="none"/>
        </w:rPr>
        <w:t xml:space="preserve"> Heraclio Bejarano </w:t>
      </w:r>
      <w:r w:rsidRPr="003923C3">
        <w:rPr>
          <w:rFonts w:ascii="Tahoma" w:eastAsia="Times New Roman" w:hAnsi="Tahoma" w:cs="Tahoma"/>
          <w:kern w:val="0"/>
          <w:lang w:eastAsia="es-CO"/>
          <w14:ligatures w14:val="none"/>
        </w:rPr>
        <w:t>realiza el seguimiento respectivo, remitiendo comunicaciones formales por correo electrónico o, de ser necesario, efectuando la verificación directa a través del chat institucional para solicitar la validación y actualización de la información en el sistema.</w:t>
      </w:r>
    </w:p>
    <w:p w14:paraId="7ABAEB4E" w14:textId="39CD4C2C" w:rsidR="00F475B3" w:rsidRDefault="003923C3" w:rsidP="007D4FCB">
      <w:pPr>
        <w:shd w:val="clear" w:color="auto" w:fill="FFFFFF"/>
        <w:jc w:val="both"/>
        <w:textAlignment w:val="baseline"/>
        <w:rPr>
          <w:rFonts w:ascii="Tahoma" w:hAnsi="Tahoma" w:cs="Tahoma"/>
          <w:shd w:val="clear" w:color="auto" w:fill="FFFFFF"/>
        </w:rPr>
      </w:pPr>
      <w:r w:rsidRPr="003923C3">
        <w:rPr>
          <w:rFonts w:ascii="Tahoma" w:hAnsi="Tahoma" w:cs="Tahoma"/>
          <w:noProof/>
          <w:shd w:val="clear" w:color="auto" w:fill="FFFFFF"/>
        </w:rPr>
        <w:drawing>
          <wp:inline distT="0" distB="0" distL="0" distR="0" wp14:anchorId="28A6A32E" wp14:editId="01B4ECBA">
            <wp:extent cx="5612130" cy="3395980"/>
            <wp:effectExtent l="19050" t="19050" r="26670" b="139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395980"/>
                    </a:xfrm>
                    <a:prstGeom prst="rect">
                      <a:avLst/>
                    </a:prstGeom>
                    <a:ln>
                      <a:solidFill>
                        <a:schemeClr val="bg1">
                          <a:lumMod val="50000"/>
                        </a:schemeClr>
                      </a:solidFill>
                    </a:ln>
                  </pic:spPr>
                </pic:pic>
              </a:graphicData>
            </a:graphic>
          </wp:inline>
        </w:drawing>
      </w:r>
    </w:p>
    <w:p w14:paraId="074BCA74" w14:textId="5229D0E8" w:rsidR="003923C3" w:rsidRDefault="003923C3" w:rsidP="007D4FCB">
      <w:pPr>
        <w:shd w:val="clear" w:color="auto" w:fill="FFFFFF"/>
        <w:jc w:val="both"/>
        <w:textAlignment w:val="baseline"/>
        <w:rPr>
          <w:rFonts w:ascii="Tahoma" w:hAnsi="Tahoma" w:cs="Tahoma"/>
          <w:shd w:val="clear" w:color="auto" w:fill="FFFFFF"/>
        </w:rPr>
      </w:pPr>
      <w:r w:rsidRPr="003923C3">
        <w:rPr>
          <w:rFonts w:ascii="Tahoma" w:hAnsi="Tahoma" w:cs="Tahoma"/>
          <w:noProof/>
          <w:shd w:val="clear" w:color="auto" w:fill="FFFFFF"/>
        </w:rPr>
        <w:drawing>
          <wp:inline distT="0" distB="0" distL="0" distR="0" wp14:anchorId="2C42B68E" wp14:editId="4E437E73">
            <wp:extent cx="5657850" cy="2863850"/>
            <wp:effectExtent l="19050" t="19050" r="19050" b="1270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64754" cy="2867345"/>
                    </a:xfrm>
                    <a:prstGeom prst="rect">
                      <a:avLst/>
                    </a:prstGeom>
                    <a:ln>
                      <a:solidFill>
                        <a:schemeClr val="bg1">
                          <a:lumMod val="50000"/>
                        </a:schemeClr>
                      </a:solidFill>
                    </a:ln>
                  </pic:spPr>
                </pic:pic>
              </a:graphicData>
            </a:graphic>
          </wp:inline>
        </w:drawing>
      </w:r>
    </w:p>
    <w:p w14:paraId="6DEF3C44" w14:textId="18868195" w:rsidR="003923C3" w:rsidRDefault="003923C3" w:rsidP="007D4FCB">
      <w:pPr>
        <w:shd w:val="clear" w:color="auto" w:fill="FFFFFF"/>
        <w:jc w:val="both"/>
        <w:textAlignment w:val="baseline"/>
        <w:rPr>
          <w:rFonts w:ascii="Tahoma" w:hAnsi="Tahoma" w:cs="Tahoma"/>
          <w:shd w:val="clear" w:color="auto" w:fill="FFFFFF"/>
        </w:rPr>
      </w:pPr>
      <w:r>
        <w:rPr>
          <w:rFonts w:ascii="Tahoma" w:hAnsi="Tahoma" w:cs="Tahoma"/>
          <w:shd w:val="clear" w:color="auto" w:fill="FFFFFF"/>
        </w:rPr>
        <w:t xml:space="preserve">De la misma manera para el día 3 de febrero se </w:t>
      </w:r>
      <w:proofErr w:type="spellStart"/>
      <w:r>
        <w:rPr>
          <w:rFonts w:ascii="Tahoma" w:hAnsi="Tahoma" w:cs="Tahoma"/>
          <w:shd w:val="clear" w:color="auto" w:fill="FFFFFF"/>
        </w:rPr>
        <w:t>desarrollo</w:t>
      </w:r>
      <w:proofErr w:type="spellEnd"/>
      <w:r>
        <w:rPr>
          <w:rFonts w:ascii="Tahoma" w:hAnsi="Tahoma" w:cs="Tahoma"/>
          <w:shd w:val="clear" w:color="auto" w:fill="FFFFFF"/>
        </w:rPr>
        <w:t xml:space="preserve"> una </w:t>
      </w:r>
      <w:r w:rsidR="006604A2">
        <w:rPr>
          <w:rFonts w:ascii="Tahoma" w:hAnsi="Tahoma" w:cs="Tahoma"/>
          <w:shd w:val="clear" w:color="auto" w:fill="FFFFFF"/>
        </w:rPr>
        <w:t>mesa de trabajo con el equipo de PQRSD del proceso de gestión documental, donde se trataron los temas relacionados con:</w:t>
      </w:r>
    </w:p>
    <w:p w14:paraId="7B25F263" w14:textId="79D0C82E" w:rsidR="00CE0E59" w:rsidRDefault="00CE0E59" w:rsidP="007D4FCB">
      <w:pPr>
        <w:shd w:val="clear" w:color="auto" w:fill="FFFFFF"/>
        <w:jc w:val="both"/>
        <w:textAlignment w:val="baseline"/>
        <w:rPr>
          <w:rFonts w:ascii="Tahoma" w:hAnsi="Tahoma" w:cs="Tahoma"/>
          <w:shd w:val="clear" w:color="auto" w:fill="FFFFFF"/>
        </w:rPr>
      </w:pPr>
    </w:p>
    <w:p w14:paraId="600AA741" w14:textId="77777777" w:rsidR="00CE0E59" w:rsidRPr="00CE0E59" w:rsidRDefault="00CE0E59" w:rsidP="00757B08">
      <w:pPr>
        <w:pStyle w:val="Prrafodelista"/>
        <w:numPr>
          <w:ilvl w:val="1"/>
          <w:numId w:val="7"/>
        </w:numPr>
        <w:shd w:val="clear" w:color="auto" w:fill="FFFFFF"/>
        <w:textAlignment w:val="baseline"/>
        <w:rPr>
          <w:rFonts w:ascii="Tahoma" w:hAnsi="Tahoma" w:cs="Tahoma"/>
          <w:shd w:val="clear" w:color="auto" w:fill="FFFFFF"/>
        </w:rPr>
      </w:pPr>
      <w:r w:rsidRPr="00C53AD4">
        <w:rPr>
          <w:rFonts w:ascii="Tahoma" w:hAnsi="Tahoma" w:cs="Tahoma"/>
          <w:b/>
          <w:bCs/>
          <w:shd w:val="clear" w:color="auto" w:fill="FFFFFF"/>
        </w:rPr>
        <w:t>Asuntos:</w:t>
      </w:r>
      <w:r>
        <w:rPr>
          <w:rFonts w:ascii="Tahoma" w:hAnsi="Tahoma" w:cs="Tahoma"/>
          <w:shd w:val="clear" w:color="auto" w:fill="FFFFFF"/>
        </w:rPr>
        <w:t xml:space="preserve"> </w:t>
      </w:r>
      <w:r w:rsidRPr="00CE0E59">
        <w:rPr>
          <w:rFonts w:ascii="Tahoma" w:hAnsi="Tahoma" w:cs="Tahoma"/>
          <w:shd w:val="clear" w:color="auto" w:fill="FFFFFF"/>
          <w:lang w:val="es-ES"/>
        </w:rPr>
        <w:t>Implementación de criterios de normalización en la redacción de asuntos de entrada y salida para optimizar la organización, recuperación y seguimiento de la información.</w:t>
      </w:r>
    </w:p>
    <w:p w14:paraId="30A84A73" w14:textId="131FBD8A" w:rsidR="00CE0E59" w:rsidRPr="00CE0E59" w:rsidRDefault="00CE0E59" w:rsidP="00757B08">
      <w:pPr>
        <w:pStyle w:val="Prrafodelista"/>
        <w:numPr>
          <w:ilvl w:val="1"/>
          <w:numId w:val="7"/>
        </w:numPr>
        <w:shd w:val="clear" w:color="auto" w:fill="FFFFFF"/>
        <w:textAlignment w:val="baseline"/>
        <w:rPr>
          <w:rFonts w:ascii="Tahoma" w:hAnsi="Tahoma" w:cs="Tahoma"/>
          <w:shd w:val="clear" w:color="auto" w:fill="FFFFFF"/>
        </w:rPr>
      </w:pPr>
      <w:proofErr w:type="spellStart"/>
      <w:r w:rsidRPr="00CE0E59">
        <w:rPr>
          <w:rFonts w:ascii="Tahoma" w:hAnsi="Tahoma" w:cs="Tahoma"/>
          <w:b/>
          <w:bCs/>
          <w:shd w:val="clear" w:color="auto" w:fill="FFFFFF"/>
          <w:lang w:val="en-US"/>
        </w:rPr>
        <w:t>Formatos</w:t>
      </w:r>
      <w:proofErr w:type="spellEnd"/>
      <w:r w:rsidRPr="00C53AD4">
        <w:rPr>
          <w:rFonts w:ascii="Tahoma" w:hAnsi="Tahoma" w:cs="Tahoma"/>
          <w:b/>
          <w:bCs/>
          <w:shd w:val="clear" w:color="auto" w:fill="FFFFFF"/>
          <w:lang w:val="en-US"/>
        </w:rPr>
        <w:t>:</w:t>
      </w:r>
      <w:r w:rsidRPr="00CE0E59">
        <w:rPr>
          <w:rFonts w:ascii="Tahoma" w:eastAsia="Tahoma" w:hAnsi="Tahoma" w:cs="Tahoma"/>
          <w:color w:val="000000" w:themeColor="text1"/>
          <w:kern w:val="24"/>
          <w:sz w:val="24"/>
          <w:szCs w:val="24"/>
          <w:lang w:val="es-ES" w:eastAsia="es-CO"/>
          <w14:ligatures w14:val="none"/>
        </w:rPr>
        <w:t xml:space="preserve"> </w:t>
      </w:r>
      <w:r w:rsidRPr="00CE0E59">
        <w:rPr>
          <w:rFonts w:ascii="Tahoma" w:hAnsi="Tahoma" w:cs="Tahoma"/>
          <w:shd w:val="clear" w:color="auto" w:fill="FFFFFF"/>
          <w:lang w:val="es-ES"/>
        </w:rPr>
        <w:t>Estandarización de los formatos de respuesta generados en el proceso de Gestión Documental, con el fin de asegurar uniformidad, coherencia y calidad en las comunicaciones.</w:t>
      </w:r>
    </w:p>
    <w:p w14:paraId="483DF646" w14:textId="6D85E9CB" w:rsidR="00CE0E59" w:rsidRPr="00CE0E59" w:rsidRDefault="00CE0E59" w:rsidP="00757B08">
      <w:pPr>
        <w:pStyle w:val="Prrafodelista"/>
        <w:numPr>
          <w:ilvl w:val="1"/>
          <w:numId w:val="7"/>
        </w:numPr>
        <w:shd w:val="clear" w:color="auto" w:fill="FFFFFF"/>
        <w:textAlignment w:val="baseline"/>
        <w:rPr>
          <w:rFonts w:ascii="Tahoma" w:hAnsi="Tahoma" w:cs="Tahoma"/>
          <w:shd w:val="clear" w:color="auto" w:fill="FFFFFF"/>
        </w:rPr>
      </w:pPr>
      <w:proofErr w:type="spellStart"/>
      <w:r w:rsidRPr="00CE0E59">
        <w:rPr>
          <w:rFonts w:ascii="Tahoma" w:hAnsi="Tahoma" w:cs="Tahoma"/>
          <w:b/>
          <w:bCs/>
          <w:shd w:val="clear" w:color="auto" w:fill="FFFFFF"/>
          <w:lang w:val="en-US"/>
        </w:rPr>
        <w:t>Tiempos</w:t>
      </w:r>
      <w:proofErr w:type="spellEnd"/>
      <w:r w:rsidRPr="00CE0E59">
        <w:rPr>
          <w:rFonts w:ascii="Tahoma" w:hAnsi="Tahoma" w:cs="Tahoma"/>
          <w:b/>
          <w:bCs/>
          <w:shd w:val="clear" w:color="auto" w:fill="FFFFFF"/>
          <w:lang w:val="en-US"/>
        </w:rPr>
        <w:t xml:space="preserve"> Resp. PQRSD</w:t>
      </w:r>
      <w:r>
        <w:rPr>
          <w:rFonts w:ascii="Tahoma" w:hAnsi="Tahoma" w:cs="Tahoma"/>
          <w:shd w:val="clear" w:color="auto" w:fill="FFFFFF"/>
          <w:lang w:val="en-US"/>
        </w:rPr>
        <w:t>:</w:t>
      </w:r>
      <w:r w:rsidRPr="00CE0E59">
        <w:rPr>
          <w:rFonts w:ascii="Tahoma" w:eastAsia="Tahoma" w:hAnsi="Tahoma" w:cs="Tahoma"/>
          <w:color w:val="000000" w:themeColor="text1"/>
          <w:kern w:val="24"/>
          <w:sz w:val="24"/>
          <w:szCs w:val="24"/>
          <w:lang w:val="es-ES" w:eastAsia="es-CO"/>
          <w14:ligatures w14:val="none"/>
        </w:rPr>
        <w:t xml:space="preserve"> </w:t>
      </w:r>
      <w:r w:rsidRPr="00CE0E59">
        <w:rPr>
          <w:rFonts w:ascii="Tahoma" w:hAnsi="Tahoma" w:cs="Tahoma"/>
          <w:shd w:val="clear" w:color="auto" w:fill="FFFFFF"/>
          <w:lang w:val="es-ES"/>
        </w:rPr>
        <w:t>El no cumplimiento oportuno de los tiempos de respuesta puede derivar en sanciones y comprometer la calidad del servicio.</w:t>
      </w:r>
    </w:p>
    <w:p w14:paraId="701E94E2" w14:textId="749BFBA3" w:rsidR="0054748F" w:rsidRPr="0054748F" w:rsidRDefault="00CE0E59" w:rsidP="00757B08">
      <w:pPr>
        <w:pStyle w:val="Prrafodelista"/>
        <w:numPr>
          <w:ilvl w:val="1"/>
          <w:numId w:val="7"/>
        </w:numPr>
        <w:shd w:val="clear" w:color="auto" w:fill="FFFFFF"/>
        <w:textAlignment w:val="baseline"/>
        <w:rPr>
          <w:rFonts w:ascii="Tahoma" w:hAnsi="Tahoma" w:cs="Tahoma"/>
          <w:shd w:val="clear" w:color="auto" w:fill="FFFFFF"/>
        </w:rPr>
      </w:pPr>
      <w:proofErr w:type="spellStart"/>
      <w:r w:rsidRPr="00CE0E59">
        <w:rPr>
          <w:rFonts w:ascii="Tahoma" w:hAnsi="Tahoma" w:cs="Tahoma"/>
          <w:b/>
          <w:bCs/>
          <w:shd w:val="clear" w:color="auto" w:fill="FFFFFF"/>
          <w:lang w:val="en-US"/>
        </w:rPr>
        <w:t>Matriz</w:t>
      </w:r>
      <w:proofErr w:type="spellEnd"/>
      <w:r w:rsidRPr="00CE0E59">
        <w:rPr>
          <w:rFonts w:ascii="Tahoma" w:hAnsi="Tahoma" w:cs="Tahoma"/>
          <w:b/>
          <w:bCs/>
          <w:shd w:val="clear" w:color="auto" w:fill="FFFFFF"/>
          <w:lang w:val="en-US"/>
        </w:rPr>
        <w:t xml:space="preserve"> </w:t>
      </w:r>
      <w:proofErr w:type="spellStart"/>
      <w:r w:rsidRPr="00CE0E59">
        <w:rPr>
          <w:rFonts w:ascii="Tahoma" w:hAnsi="Tahoma" w:cs="Tahoma"/>
          <w:b/>
          <w:bCs/>
          <w:shd w:val="clear" w:color="auto" w:fill="FFFFFF"/>
          <w:lang w:val="en-US"/>
        </w:rPr>
        <w:t>Seguimientos</w:t>
      </w:r>
      <w:proofErr w:type="spellEnd"/>
      <w:r w:rsidRPr="00C53AD4">
        <w:rPr>
          <w:rFonts w:ascii="Tahoma" w:hAnsi="Tahoma" w:cs="Tahoma"/>
          <w:b/>
          <w:bCs/>
          <w:shd w:val="clear" w:color="auto" w:fill="FFFFFF"/>
          <w:lang w:val="en-US"/>
        </w:rPr>
        <w:t>:</w:t>
      </w:r>
      <w:r w:rsidR="0054748F" w:rsidRPr="0054748F">
        <w:rPr>
          <w:rFonts w:ascii="Tahoma" w:eastAsia="Tahoma" w:hAnsi="Tahoma" w:cs="Tahoma"/>
          <w:color w:val="000000" w:themeColor="text1"/>
          <w:kern w:val="24"/>
          <w:sz w:val="24"/>
          <w:szCs w:val="24"/>
          <w:lang w:val="es-ES" w:eastAsia="es-CO"/>
          <w14:ligatures w14:val="none"/>
        </w:rPr>
        <w:t xml:space="preserve"> </w:t>
      </w:r>
      <w:r w:rsidR="0054748F" w:rsidRPr="0054748F">
        <w:rPr>
          <w:rFonts w:ascii="Tahoma" w:hAnsi="Tahoma" w:cs="Tahoma"/>
          <w:shd w:val="clear" w:color="auto" w:fill="FFFFFF"/>
          <w:lang w:val="es-ES"/>
        </w:rPr>
        <w:t>Socialización e implementación de la matriz de seguimiento para fortalecer el monitoreo y la gestión oportuna de las PQRSD.</w:t>
      </w:r>
    </w:p>
    <w:p w14:paraId="599C959B" w14:textId="13BF40A8" w:rsidR="00CE0E59" w:rsidRPr="00CE0E59" w:rsidRDefault="00CE0E59" w:rsidP="0054748F">
      <w:pPr>
        <w:pStyle w:val="Prrafodelista"/>
        <w:shd w:val="clear" w:color="auto" w:fill="FFFFFF"/>
        <w:ind w:left="1440"/>
        <w:jc w:val="both"/>
        <w:textAlignment w:val="baseline"/>
        <w:rPr>
          <w:rFonts w:ascii="Tahoma" w:hAnsi="Tahoma" w:cs="Tahoma"/>
          <w:shd w:val="clear" w:color="auto" w:fill="FFFFFF"/>
        </w:rPr>
      </w:pPr>
    </w:p>
    <w:p w14:paraId="3229E67C" w14:textId="7831BCEE" w:rsidR="006604A2" w:rsidRDefault="00B102E2" w:rsidP="007D4FCB">
      <w:pPr>
        <w:shd w:val="clear" w:color="auto" w:fill="FFFFFF"/>
        <w:jc w:val="both"/>
        <w:textAlignment w:val="baseline"/>
        <w:rPr>
          <w:rFonts w:ascii="Tahoma" w:hAnsi="Tahoma" w:cs="Tahoma"/>
          <w:shd w:val="clear" w:color="auto" w:fill="FFFFFF"/>
        </w:rPr>
      </w:pPr>
      <w:r>
        <w:rPr>
          <w:rFonts w:ascii="Tahoma" w:hAnsi="Tahoma" w:cs="Tahoma"/>
          <w:noProof/>
          <w:shd w:val="clear" w:color="auto" w:fill="FFFFFF"/>
        </w:rPr>
        <w:drawing>
          <wp:anchor distT="0" distB="0" distL="114300" distR="114300" simplePos="0" relativeHeight="251659264" behindDoc="0" locked="0" layoutInCell="1" allowOverlap="1" wp14:anchorId="06776B2B" wp14:editId="60B18C76">
            <wp:simplePos x="0" y="0"/>
            <wp:positionH relativeFrom="column">
              <wp:posOffset>1450340</wp:posOffset>
            </wp:positionH>
            <wp:positionV relativeFrom="paragraph">
              <wp:posOffset>2242820</wp:posOffset>
            </wp:positionV>
            <wp:extent cx="3088005" cy="4117975"/>
            <wp:effectExtent l="0" t="635"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a:off x="0" y="0"/>
                      <a:ext cx="3088005" cy="4117975"/>
                    </a:xfrm>
                    <a:prstGeom prst="rect">
                      <a:avLst/>
                    </a:prstGeom>
                    <a:noFill/>
                  </pic:spPr>
                </pic:pic>
              </a:graphicData>
            </a:graphic>
            <wp14:sizeRelH relativeFrom="page">
              <wp14:pctWidth>0</wp14:pctWidth>
            </wp14:sizeRelH>
            <wp14:sizeRelV relativeFrom="page">
              <wp14:pctHeight>0</wp14:pctHeight>
            </wp14:sizeRelV>
          </wp:anchor>
        </w:drawing>
      </w:r>
      <w:r w:rsidR="006604A2" w:rsidRPr="006604A2">
        <w:rPr>
          <w:rFonts w:ascii="Tahoma" w:hAnsi="Tahoma" w:cs="Tahoma"/>
          <w:noProof/>
          <w:shd w:val="clear" w:color="auto" w:fill="FFFFFF"/>
        </w:rPr>
        <w:drawing>
          <wp:inline distT="0" distB="0" distL="0" distR="0" wp14:anchorId="267ED50F" wp14:editId="02773D8A">
            <wp:extent cx="5524500" cy="2224405"/>
            <wp:effectExtent l="19050" t="19050" r="19050" b="2349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959" r="1561"/>
                    <a:stretch/>
                  </pic:blipFill>
                  <pic:spPr bwMode="auto">
                    <a:xfrm>
                      <a:off x="0" y="0"/>
                      <a:ext cx="5524500" cy="2224405"/>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F08D0CC" w14:textId="0C52C6E8" w:rsidR="00B102E2" w:rsidRPr="00B102E2" w:rsidRDefault="00B102E2" w:rsidP="007D4FCB">
      <w:pPr>
        <w:shd w:val="clear" w:color="auto" w:fill="FFFFFF"/>
        <w:jc w:val="both"/>
        <w:textAlignment w:val="baseline"/>
        <w:rPr>
          <w:rFonts w:ascii="Tahoma" w:hAnsi="Tahoma" w:cs="Tahoma"/>
          <w:shd w:val="clear" w:color="auto" w:fill="FFFFFF"/>
        </w:rPr>
      </w:pPr>
      <w:r w:rsidRPr="00B102E2">
        <w:rPr>
          <w:rFonts w:ascii="Tahoma" w:hAnsi="Tahoma" w:cs="Tahoma"/>
        </w:rPr>
        <w:t>A continuación, se relaciona una captura de imagen en la que se evidencia la mesa de trabajo realizada con el equipo del Proceso de Gestión Documental.</w:t>
      </w:r>
    </w:p>
    <w:p w14:paraId="2EA464CD" w14:textId="395E7816" w:rsidR="00B102E2" w:rsidRDefault="00B102E2" w:rsidP="007D4FCB">
      <w:pPr>
        <w:shd w:val="clear" w:color="auto" w:fill="FFFFFF"/>
        <w:jc w:val="both"/>
        <w:textAlignment w:val="baseline"/>
        <w:rPr>
          <w:rFonts w:ascii="Tahoma" w:hAnsi="Tahoma" w:cs="Tahoma"/>
          <w:shd w:val="clear" w:color="auto" w:fill="FFFFFF"/>
        </w:rPr>
      </w:pPr>
    </w:p>
    <w:p w14:paraId="1A3FA89C" w14:textId="558549EE" w:rsidR="00B102E2" w:rsidRDefault="00B102E2" w:rsidP="007D4FCB">
      <w:pPr>
        <w:shd w:val="clear" w:color="auto" w:fill="FFFFFF"/>
        <w:jc w:val="both"/>
        <w:textAlignment w:val="baseline"/>
        <w:rPr>
          <w:rFonts w:ascii="Tahoma" w:hAnsi="Tahoma" w:cs="Tahoma"/>
          <w:shd w:val="clear" w:color="auto" w:fill="FFFFFF"/>
        </w:rPr>
      </w:pPr>
    </w:p>
    <w:p w14:paraId="45F7A62A" w14:textId="17803038" w:rsidR="00B102E2" w:rsidRDefault="00B102E2" w:rsidP="007D4FCB">
      <w:pPr>
        <w:shd w:val="clear" w:color="auto" w:fill="FFFFFF"/>
        <w:jc w:val="both"/>
        <w:textAlignment w:val="baseline"/>
        <w:rPr>
          <w:rFonts w:ascii="Tahoma" w:hAnsi="Tahoma" w:cs="Tahoma"/>
          <w:shd w:val="clear" w:color="auto" w:fill="FFFFFF"/>
        </w:rPr>
      </w:pPr>
    </w:p>
    <w:p w14:paraId="2BC6A1E5" w14:textId="7E3DA7F4" w:rsidR="003F678F" w:rsidRDefault="003F678F" w:rsidP="007D4FCB">
      <w:pPr>
        <w:shd w:val="clear" w:color="auto" w:fill="FFFFFF"/>
        <w:jc w:val="both"/>
        <w:textAlignment w:val="baseline"/>
        <w:rPr>
          <w:rFonts w:ascii="Tahoma" w:hAnsi="Tahoma" w:cs="Tahoma"/>
          <w:shd w:val="clear" w:color="auto" w:fill="FFFFFF"/>
        </w:rPr>
      </w:pPr>
    </w:p>
    <w:p w14:paraId="1E612CB6" w14:textId="10FCF958" w:rsidR="003F678F" w:rsidRDefault="003F678F" w:rsidP="007D4FCB">
      <w:pPr>
        <w:shd w:val="clear" w:color="auto" w:fill="FFFFFF"/>
        <w:jc w:val="both"/>
        <w:textAlignment w:val="baseline"/>
        <w:rPr>
          <w:rFonts w:ascii="Tahoma" w:hAnsi="Tahoma" w:cs="Tahoma"/>
          <w:shd w:val="clear" w:color="auto" w:fill="FFFFFF"/>
        </w:rPr>
      </w:pPr>
    </w:p>
    <w:p w14:paraId="53F6536C" w14:textId="2BEB47C1" w:rsidR="003F678F" w:rsidRDefault="003F678F" w:rsidP="007D4FCB">
      <w:pPr>
        <w:shd w:val="clear" w:color="auto" w:fill="FFFFFF"/>
        <w:jc w:val="both"/>
        <w:textAlignment w:val="baseline"/>
        <w:rPr>
          <w:rFonts w:ascii="Tahoma" w:hAnsi="Tahoma" w:cs="Tahoma"/>
          <w:shd w:val="clear" w:color="auto" w:fill="FFFFFF"/>
        </w:rPr>
      </w:pPr>
    </w:p>
    <w:p w14:paraId="7C2C71B4" w14:textId="5013083E" w:rsidR="003F678F" w:rsidRDefault="003F678F" w:rsidP="007D4FCB">
      <w:pPr>
        <w:shd w:val="clear" w:color="auto" w:fill="FFFFFF"/>
        <w:jc w:val="both"/>
        <w:textAlignment w:val="baseline"/>
        <w:rPr>
          <w:rFonts w:ascii="Tahoma" w:hAnsi="Tahoma" w:cs="Tahoma"/>
          <w:shd w:val="clear" w:color="auto" w:fill="FFFFFF"/>
        </w:rPr>
      </w:pPr>
    </w:p>
    <w:p w14:paraId="05300420" w14:textId="1E1AEBAF" w:rsidR="003F678F" w:rsidRDefault="003F678F" w:rsidP="007D4FCB">
      <w:pPr>
        <w:shd w:val="clear" w:color="auto" w:fill="FFFFFF"/>
        <w:jc w:val="both"/>
        <w:textAlignment w:val="baseline"/>
        <w:rPr>
          <w:rFonts w:ascii="Tahoma" w:hAnsi="Tahoma" w:cs="Tahoma"/>
          <w:shd w:val="clear" w:color="auto" w:fill="FFFFFF"/>
        </w:rPr>
      </w:pPr>
    </w:p>
    <w:p w14:paraId="09D06AED" w14:textId="1BA2AB1D" w:rsidR="003F678F" w:rsidRDefault="003F678F" w:rsidP="007D4FCB">
      <w:pPr>
        <w:shd w:val="clear" w:color="auto" w:fill="FFFFFF"/>
        <w:jc w:val="both"/>
        <w:textAlignment w:val="baseline"/>
        <w:rPr>
          <w:rFonts w:ascii="Tahoma" w:hAnsi="Tahoma" w:cs="Tahoma"/>
          <w:shd w:val="clear" w:color="auto" w:fill="FFFFFF"/>
        </w:rPr>
      </w:pPr>
    </w:p>
    <w:p w14:paraId="4A8B4709" w14:textId="5C30F364" w:rsidR="003F678F" w:rsidRDefault="003F678F" w:rsidP="007D4FCB">
      <w:pPr>
        <w:shd w:val="clear" w:color="auto" w:fill="FFFFFF"/>
        <w:jc w:val="both"/>
        <w:textAlignment w:val="baseline"/>
        <w:rPr>
          <w:rFonts w:ascii="Tahoma" w:hAnsi="Tahoma" w:cs="Tahoma"/>
          <w:shd w:val="clear" w:color="auto" w:fill="FFFFFF"/>
        </w:rPr>
      </w:pPr>
    </w:p>
    <w:p w14:paraId="514E6E24" w14:textId="337871D7" w:rsidR="003F678F" w:rsidRPr="003F678F" w:rsidRDefault="003F678F" w:rsidP="003F678F">
      <w:pPr>
        <w:pStyle w:val="Ttulo"/>
        <w:rPr>
          <w:rFonts w:cs="Tahoma"/>
          <w:color w:val="00B0F0"/>
          <w:sz w:val="22"/>
          <w:szCs w:val="22"/>
        </w:rPr>
      </w:pPr>
      <w:r w:rsidRPr="003F678F">
        <w:rPr>
          <w:rFonts w:cs="Tahoma"/>
          <w:color w:val="00B0F0"/>
          <w:sz w:val="22"/>
          <w:szCs w:val="22"/>
        </w:rPr>
        <w:t xml:space="preserve">Informe de seguimiento a respuestas de solicitudes y PQRSD mes de </w:t>
      </w:r>
      <w:r>
        <w:rPr>
          <w:rFonts w:cs="Tahoma"/>
          <w:color w:val="00B0F0"/>
          <w:sz w:val="22"/>
          <w:szCs w:val="22"/>
        </w:rPr>
        <w:t>marzo</w:t>
      </w:r>
    </w:p>
    <w:p w14:paraId="48E42C4D" w14:textId="1837BC67" w:rsidR="003F678F" w:rsidRPr="007D4FCB" w:rsidRDefault="003F678F" w:rsidP="003F678F">
      <w:pPr>
        <w:pStyle w:val="NormalWeb"/>
        <w:rPr>
          <w:rFonts w:ascii="Tahoma" w:hAnsi="Tahoma" w:cs="Tahoma"/>
          <w:sz w:val="22"/>
          <w:szCs w:val="22"/>
        </w:rPr>
      </w:pPr>
      <w:r>
        <w:rPr>
          <w:rStyle w:val="Textoennegrita"/>
          <w:rFonts w:ascii="Tahoma" w:hAnsi="Tahoma" w:cs="Tahoma"/>
          <w:sz w:val="22"/>
          <w:szCs w:val="22"/>
        </w:rPr>
        <w:t>Proceso</w:t>
      </w:r>
      <w:r w:rsidRPr="007D4FCB">
        <w:rPr>
          <w:rStyle w:val="Textoennegrita"/>
          <w:rFonts w:ascii="Tahoma" w:hAnsi="Tahoma" w:cs="Tahoma"/>
          <w:sz w:val="22"/>
          <w:szCs w:val="22"/>
        </w:rPr>
        <w:t>:</w:t>
      </w:r>
      <w:r w:rsidRPr="007D4FCB">
        <w:rPr>
          <w:rFonts w:ascii="Tahoma" w:hAnsi="Tahoma" w:cs="Tahoma"/>
          <w:sz w:val="22"/>
          <w:szCs w:val="22"/>
        </w:rPr>
        <w:t xml:space="preserve"> Registro de comunicaciones internas del equipo de gestión</w:t>
      </w:r>
      <w:r>
        <w:rPr>
          <w:rFonts w:ascii="Tahoma" w:hAnsi="Tahoma" w:cs="Tahoma"/>
          <w:sz w:val="22"/>
          <w:szCs w:val="22"/>
        </w:rPr>
        <w:t xml:space="preserve"> Documental y Biblioteca</w:t>
      </w:r>
      <w:r w:rsidRPr="007D4FCB">
        <w:rPr>
          <w:rFonts w:ascii="Tahoma" w:hAnsi="Tahoma" w:cs="Tahoma"/>
          <w:sz w:val="22"/>
          <w:szCs w:val="22"/>
        </w:rPr>
        <w:br/>
      </w:r>
      <w:r w:rsidRPr="007D4FCB">
        <w:rPr>
          <w:rStyle w:val="Textoennegrita"/>
          <w:rFonts w:ascii="Tahoma" w:hAnsi="Tahoma" w:cs="Tahoma"/>
          <w:sz w:val="22"/>
          <w:szCs w:val="22"/>
        </w:rPr>
        <w:t>Periodo analizado:</w:t>
      </w:r>
      <w:r w:rsidRPr="007D4FCB">
        <w:rPr>
          <w:rFonts w:ascii="Tahoma" w:hAnsi="Tahoma" w:cs="Tahoma"/>
          <w:sz w:val="22"/>
          <w:szCs w:val="22"/>
        </w:rPr>
        <w:t xml:space="preserve"> </w:t>
      </w:r>
      <w:r>
        <w:rPr>
          <w:rFonts w:ascii="Tahoma" w:hAnsi="Tahoma" w:cs="Tahoma"/>
          <w:sz w:val="22"/>
          <w:szCs w:val="22"/>
        </w:rPr>
        <w:t>02</w:t>
      </w:r>
      <w:r w:rsidRPr="007D4FCB">
        <w:rPr>
          <w:rFonts w:ascii="Tahoma" w:hAnsi="Tahoma" w:cs="Tahoma"/>
          <w:sz w:val="22"/>
          <w:szCs w:val="22"/>
        </w:rPr>
        <w:t xml:space="preserve"> al </w:t>
      </w:r>
      <w:r>
        <w:rPr>
          <w:rFonts w:ascii="Tahoma" w:hAnsi="Tahoma" w:cs="Tahoma"/>
          <w:sz w:val="22"/>
          <w:szCs w:val="22"/>
        </w:rPr>
        <w:t>31</w:t>
      </w:r>
      <w:r w:rsidRPr="007D4FCB">
        <w:rPr>
          <w:rFonts w:ascii="Tahoma" w:hAnsi="Tahoma" w:cs="Tahoma"/>
          <w:sz w:val="22"/>
          <w:szCs w:val="22"/>
        </w:rPr>
        <w:t xml:space="preserve"> de </w:t>
      </w:r>
      <w:r>
        <w:rPr>
          <w:rFonts w:ascii="Tahoma" w:hAnsi="Tahoma" w:cs="Tahoma"/>
          <w:sz w:val="22"/>
          <w:szCs w:val="22"/>
        </w:rPr>
        <w:t>marzo</w:t>
      </w:r>
      <w:r w:rsidRPr="007D4FCB">
        <w:rPr>
          <w:rFonts w:ascii="Tahoma" w:hAnsi="Tahoma" w:cs="Tahoma"/>
          <w:sz w:val="22"/>
          <w:szCs w:val="22"/>
        </w:rPr>
        <w:t xml:space="preserve"> de 2026</w:t>
      </w:r>
      <w:r>
        <w:rPr>
          <w:rFonts w:ascii="Tahoma" w:hAnsi="Tahoma" w:cs="Tahoma"/>
          <w:sz w:val="22"/>
          <w:szCs w:val="22"/>
        </w:rPr>
        <w:t xml:space="preserve"> para el grupo de Gestión Documental y Biblioteca</w:t>
      </w:r>
      <w:r w:rsidRPr="007D4FCB">
        <w:rPr>
          <w:rFonts w:ascii="Tahoma" w:hAnsi="Tahoma" w:cs="Tahoma"/>
          <w:sz w:val="22"/>
          <w:szCs w:val="22"/>
        </w:rPr>
        <w:br/>
      </w:r>
      <w:r w:rsidRPr="007D4FCB">
        <w:rPr>
          <w:rStyle w:val="Textoennegrita"/>
          <w:rFonts w:ascii="Tahoma" w:hAnsi="Tahoma" w:cs="Tahoma"/>
          <w:sz w:val="22"/>
          <w:szCs w:val="22"/>
        </w:rPr>
        <w:t>Sistema asociado:</w:t>
      </w:r>
      <w:r w:rsidRPr="007D4FCB">
        <w:rPr>
          <w:rFonts w:ascii="Tahoma" w:hAnsi="Tahoma" w:cs="Tahoma"/>
          <w:sz w:val="22"/>
          <w:szCs w:val="22"/>
        </w:rPr>
        <w:t xml:space="preserve"> SOADOC – SGDEA</w:t>
      </w:r>
    </w:p>
    <w:p w14:paraId="60489560"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1. Objetivo</w:t>
      </w:r>
    </w:p>
    <w:p w14:paraId="5E2BAB04"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Presentar los resultados del seguimiento y control efectuado a las Peticiones, Quejas, Reclamos, Sugerencias y Denuncias (PQRSD) gestionadas a través del SGDEA Orfeo, identificando incumplimientos en los tiempos de respuesta, las acciones correctivas implementadas y la capacitación desarrollada el 6 de marzo de 2026 como medida preventiva.</w:t>
      </w:r>
    </w:p>
    <w:p w14:paraId="30CBB676"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2. Marco de seguimiento</w:t>
      </w:r>
    </w:p>
    <w:p w14:paraId="7C71A2EA"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El proceso de Gestión Documental realiza monitoreo permanente a las PQRSD radicadas en el sistema, verificando:</w:t>
      </w:r>
    </w:p>
    <w:p w14:paraId="2E83E6F1" w14:textId="77777777" w:rsidR="00590A66" w:rsidRPr="00590A66" w:rsidRDefault="00590A66" w:rsidP="00590A66">
      <w:pPr>
        <w:shd w:val="clear" w:color="auto" w:fill="FFFFFF"/>
        <w:jc w:val="both"/>
        <w:textAlignment w:val="baseline"/>
        <w:rPr>
          <w:rFonts w:ascii="Tahoma" w:hAnsi="Tahoma" w:cs="Tahoma"/>
          <w:shd w:val="clear" w:color="auto" w:fill="FFFFFF"/>
        </w:rPr>
      </w:pPr>
    </w:p>
    <w:p w14:paraId="153F6FD0" w14:textId="7777777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Cumplimiento de los tiempos de respuesta conforme a la normativa vigente.</w:t>
      </w:r>
    </w:p>
    <w:p w14:paraId="5493FBE1" w14:textId="7777777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Estado del trámite en el sistema (En trámite, Pendiente por finalizar, Respondido).</w:t>
      </w:r>
    </w:p>
    <w:p w14:paraId="51692711" w14:textId="7777777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Cierre oportuno y correcto de los radicados.</w:t>
      </w:r>
    </w:p>
    <w:p w14:paraId="61042287" w14:textId="246D47C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 xml:space="preserve">Trazabilidad de las actuaciones registradas en el SGDEA </w:t>
      </w:r>
      <w:r>
        <w:rPr>
          <w:rFonts w:ascii="Tahoma" w:hAnsi="Tahoma" w:cs="Tahoma"/>
          <w:shd w:val="clear" w:color="auto" w:fill="FFFFFF"/>
        </w:rPr>
        <w:t>AGRODOC.</w:t>
      </w:r>
    </w:p>
    <w:p w14:paraId="76AD70C1" w14:textId="77777777" w:rsidR="00590A66" w:rsidRPr="00590A66" w:rsidRDefault="00590A66" w:rsidP="00590A66">
      <w:pPr>
        <w:shd w:val="clear" w:color="auto" w:fill="FFFFFF"/>
        <w:jc w:val="both"/>
        <w:textAlignment w:val="baseline"/>
        <w:rPr>
          <w:rFonts w:ascii="Tahoma" w:hAnsi="Tahoma" w:cs="Tahoma"/>
          <w:b/>
          <w:bCs/>
          <w:shd w:val="clear" w:color="auto" w:fill="FFFFFF"/>
        </w:rPr>
      </w:pPr>
    </w:p>
    <w:p w14:paraId="76CB828A"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3. Resultados del seguimiento</w:t>
      </w:r>
    </w:p>
    <w:p w14:paraId="785BCDA8"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3.1 Identificación de incumplimientos</w:t>
      </w:r>
    </w:p>
    <w:p w14:paraId="5CC71544"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Durante el periodo evaluado se evidenciaron:</w:t>
      </w:r>
    </w:p>
    <w:p w14:paraId="5D81B182"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PQRSD con términos de respuesta vencidos.</w:t>
      </w:r>
    </w:p>
    <w:p w14:paraId="7FB8CC22"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Radicados próximos a vencer sin gestión registrada.</w:t>
      </w:r>
    </w:p>
    <w:p w14:paraId="0921928C"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 xml:space="preserve">Casos </w:t>
      </w:r>
      <w:proofErr w:type="gramStart"/>
      <w:r w:rsidRPr="00590A66">
        <w:rPr>
          <w:rFonts w:ascii="Tahoma" w:hAnsi="Tahoma" w:cs="Tahoma"/>
          <w:shd w:val="clear" w:color="auto" w:fill="FFFFFF"/>
        </w:rPr>
        <w:t>respondidos</w:t>
      </w:r>
      <w:proofErr w:type="gramEnd"/>
      <w:r w:rsidRPr="00590A66">
        <w:rPr>
          <w:rFonts w:ascii="Tahoma" w:hAnsi="Tahoma" w:cs="Tahoma"/>
          <w:shd w:val="clear" w:color="auto" w:fill="FFFFFF"/>
        </w:rPr>
        <w:t xml:space="preserve"> pero no finalizados en el sistema.</w:t>
      </w:r>
    </w:p>
    <w:p w14:paraId="67FFB03E" w14:textId="77777777" w:rsidR="00590A66" w:rsidRPr="00590A66" w:rsidRDefault="00590A66" w:rsidP="00590A66">
      <w:pPr>
        <w:shd w:val="clear" w:color="auto" w:fill="FFFFFF"/>
        <w:jc w:val="both"/>
        <w:textAlignment w:val="baseline"/>
        <w:rPr>
          <w:rFonts w:ascii="Tahoma" w:hAnsi="Tahoma" w:cs="Tahoma"/>
          <w:shd w:val="clear" w:color="auto" w:fill="FFFFFF"/>
        </w:rPr>
      </w:pPr>
    </w:p>
    <w:p w14:paraId="57191AE1" w14:textId="53B1A1BE" w:rsid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Estas situaciones generan riesgos administrativos, afectan la oportunidad en la atención al ciudadano y pueden derivar en implicaciones disciplinarias.</w:t>
      </w:r>
    </w:p>
    <w:p w14:paraId="6096E4B1" w14:textId="30BE3F9E"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 xml:space="preserve">Matriz Seguimiento PQRSD – Proceso Gestión Documental </w:t>
      </w:r>
    </w:p>
    <w:p w14:paraId="47F3A4B0" w14:textId="2241F3DD" w:rsidR="00590A66" w:rsidRPr="00590A66" w:rsidRDefault="00212681" w:rsidP="00590A66">
      <w:pPr>
        <w:shd w:val="clear" w:color="auto" w:fill="FFFFFF"/>
        <w:jc w:val="both"/>
        <w:textAlignment w:val="baseline"/>
        <w:rPr>
          <w:rFonts w:ascii="Tahoma" w:hAnsi="Tahoma" w:cs="Tahoma"/>
          <w:shd w:val="clear" w:color="auto" w:fill="FFFFFF"/>
        </w:rPr>
      </w:pPr>
      <w:hyperlink r:id="rId18" w:history="1">
        <w:r w:rsidR="00590A66" w:rsidRPr="00EE5F3E">
          <w:rPr>
            <w:rStyle w:val="Hipervnculo"/>
            <w:rFonts w:ascii="Tahoma" w:hAnsi="Tahoma" w:cs="Tahoma"/>
            <w:shd w:val="clear" w:color="auto" w:fill="FFFFFF"/>
          </w:rPr>
          <w:t>https://minagriculturaco-my.sharepoint.com/:x:/r/personal/jhonnattan_rodriguez_minagricultura_gov_co/_layouts/15/Doc.aspx?sourcedoc=%7BD38A8022-0D63-4613-AECD-F2AEED790535%7D&amp;file=PQRDS%20CONTINGENCIA%202026.xlsx&amp;fromShare=true&amp;action=default&amp;mobileredirect=true</w:t>
        </w:r>
      </w:hyperlink>
      <w:r w:rsidR="00590A66">
        <w:rPr>
          <w:rFonts w:ascii="Tahoma" w:hAnsi="Tahoma" w:cs="Tahoma"/>
          <w:shd w:val="clear" w:color="auto" w:fill="FFFFFF"/>
        </w:rPr>
        <w:t xml:space="preserve"> </w:t>
      </w:r>
    </w:p>
    <w:p w14:paraId="79291A34" w14:textId="28BAA205" w:rsidR="00590A66" w:rsidRDefault="00590A66" w:rsidP="00590A66">
      <w:pPr>
        <w:shd w:val="clear" w:color="auto" w:fill="FFFFFF"/>
        <w:jc w:val="both"/>
        <w:textAlignment w:val="baseline"/>
        <w:rPr>
          <w:rFonts w:ascii="Tahoma" w:hAnsi="Tahoma" w:cs="Tahoma"/>
          <w:shd w:val="clear" w:color="auto" w:fill="FFFFFF"/>
        </w:rPr>
      </w:pPr>
    </w:p>
    <w:p w14:paraId="38DF2F62"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4. Correos enviados a contratistas con incumplimiento</w:t>
      </w:r>
    </w:p>
    <w:p w14:paraId="05C88ABB"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Como acción de control correctivo, desde el proceso de Gestión Documental se remitieron correos electrónicos a los contratistas responsables que presentaban incumplimiento en los tiempos de respuesta.</w:t>
      </w:r>
    </w:p>
    <w:p w14:paraId="122FE2C5"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En dichas comunicaciones se incluyó:</w:t>
      </w:r>
    </w:p>
    <w:p w14:paraId="7CE62352" w14:textId="77777777" w:rsidR="00590A66" w:rsidRPr="00590A66" w:rsidRDefault="00590A66" w:rsidP="00590A66">
      <w:pPr>
        <w:pStyle w:val="Prrafodelista"/>
        <w:numPr>
          <w:ilvl w:val="0"/>
          <w:numId w:val="12"/>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Número de radicado.</w:t>
      </w:r>
    </w:p>
    <w:p w14:paraId="48EC2B97" w14:textId="77777777" w:rsidR="00590A66" w:rsidRPr="00590A66" w:rsidRDefault="00590A66" w:rsidP="00590A66">
      <w:pPr>
        <w:pStyle w:val="Prrafodelista"/>
        <w:numPr>
          <w:ilvl w:val="0"/>
          <w:numId w:val="12"/>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Tipo de solicitud (PQRSD).</w:t>
      </w:r>
    </w:p>
    <w:p w14:paraId="6E02EB72"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Fecha de radicación.</w:t>
      </w:r>
    </w:p>
    <w:p w14:paraId="45BAE898"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Fecha de vencimiento.</w:t>
      </w:r>
    </w:p>
    <w:p w14:paraId="18364756"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Estado actual en el sistema.</w:t>
      </w:r>
    </w:p>
    <w:p w14:paraId="4D986353"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Recordatorio sobre la obligatoriedad de dar cumplimiento a los términos establecidos.</w:t>
      </w:r>
    </w:p>
    <w:p w14:paraId="01C9815C" w14:textId="240924FC"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 xml:space="preserve">Solicitud de gestión inmediata y cierre correspondiente en el SGDEA </w:t>
      </w:r>
      <w:r>
        <w:rPr>
          <w:rFonts w:ascii="Tahoma" w:hAnsi="Tahoma" w:cs="Tahoma"/>
          <w:shd w:val="clear" w:color="auto" w:fill="FFFFFF"/>
        </w:rPr>
        <w:t>AGRODOC</w:t>
      </w:r>
      <w:r w:rsidRPr="00590A66">
        <w:rPr>
          <w:rFonts w:ascii="Tahoma" w:hAnsi="Tahoma" w:cs="Tahoma"/>
          <w:shd w:val="clear" w:color="auto" w:fill="FFFFFF"/>
        </w:rPr>
        <w:t>.</w:t>
      </w:r>
    </w:p>
    <w:p w14:paraId="2A7456C1" w14:textId="77777777" w:rsidR="00590A66" w:rsidRPr="00590A66" w:rsidRDefault="00590A66" w:rsidP="008010A8">
      <w:pPr>
        <w:shd w:val="clear" w:color="auto" w:fill="FFFFFF"/>
        <w:spacing w:line="240" w:lineRule="auto"/>
        <w:jc w:val="both"/>
        <w:textAlignment w:val="baseline"/>
        <w:rPr>
          <w:rFonts w:ascii="Tahoma" w:hAnsi="Tahoma" w:cs="Tahoma"/>
          <w:shd w:val="clear" w:color="auto" w:fill="FFFFFF"/>
        </w:rPr>
      </w:pPr>
    </w:p>
    <w:p w14:paraId="4C30E3A9" w14:textId="77777777" w:rsidR="00590A66" w:rsidRPr="00590A66" w:rsidRDefault="00590A66" w:rsidP="008010A8">
      <w:pPr>
        <w:shd w:val="clear" w:color="auto" w:fill="FFFFFF"/>
        <w:spacing w:line="240" w:lineRule="auto"/>
        <w:jc w:val="both"/>
        <w:textAlignment w:val="baseline"/>
        <w:rPr>
          <w:rFonts w:ascii="Tahoma" w:hAnsi="Tahoma" w:cs="Tahoma"/>
          <w:shd w:val="clear" w:color="auto" w:fill="FFFFFF"/>
        </w:rPr>
      </w:pPr>
      <w:r w:rsidRPr="00590A66">
        <w:rPr>
          <w:rFonts w:ascii="Tahoma" w:hAnsi="Tahoma" w:cs="Tahoma"/>
          <w:shd w:val="clear" w:color="auto" w:fill="FFFFFF"/>
        </w:rPr>
        <w:t>Estas notificaciones quedaron como evidencia del seguimiento realizado y del requerimiento formal efectuado a los responsables.</w:t>
      </w:r>
    </w:p>
    <w:p w14:paraId="6A2DFCDF"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5. Capacitación realizada – 6 de marzo de 2026</w:t>
      </w:r>
    </w:p>
    <w:p w14:paraId="31294B1D"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Como acción preventiva, el 6 de marzo de 2026 se llevó a cabo una jornada de capacitación dirigida a contratistas y servidores responsables de la gestión de PQRSD.</w:t>
      </w:r>
    </w:p>
    <w:p w14:paraId="08497049"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Temas abordados:</w:t>
      </w:r>
    </w:p>
    <w:p w14:paraId="3EA61BA0"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Tiempos de respuesta según tipo de PQRSD.</w:t>
      </w:r>
    </w:p>
    <w:p w14:paraId="62F30552"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Responsabilidad funcional frente a la atención oportuna.</w:t>
      </w:r>
    </w:p>
    <w:p w14:paraId="076B39F9"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Procedimiento para dar respuesta y finalizar correctamente el radicado en el sistema.</w:t>
      </w:r>
    </w:p>
    <w:p w14:paraId="699A16F2"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Identificación de solicitudes próximas a vencer.</w:t>
      </w:r>
    </w:p>
    <w:p w14:paraId="601AA3A8" w14:textId="2EEB8DD9" w:rsid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Consecuencias administrativas derivadas del incumplimiento.</w:t>
      </w:r>
    </w:p>
    <w:p w14:paraId="25F3AA18" w14:textId="77777777" w:rsid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La capacitación tuvo como propósito fortalecer el conocimiento operativo y prevenir extemporaneidades en la atención de solicitudes.</w:t>
      </w:r>
    </w:p>
    <w:p w14:paraId="666A342C" w14:textId="3C1063D4" w:rsidR="00590A66" w:rsidRPr="00590A66" w:rsidRDefault="008010A8" w:rsidP="00590A66">
      <w:pPr>
        <w:shd w:val="clear" w:color="auto" w:fill="FFFFFF"/>
        <w:jc w:val="center"/>
        <w:textAlignment w:val="baseline"/>
        <w:rPr>
          <w:rFonts w:ascii="Tahoma" w:hAnsi="Tahoma" w:cs="Tahoma"/>
          <w:shd w:val="clear" w:color="auto" w:fill="FFFFFF"/>
        </w:rPr>
      </w:pPr>
      <w:r w:rsidRPr="00590A66">
        <w:rPr>
          <w:rFonts w:ascii="Tahoma" w:hAnsi="Tahoma" w:cs="Tahoma"/>
          <w:noProof/>
          <w:shd w:val="clear" w:color="auto" w:fill="FFFFFF"/>
        </w:rPr>
        <w:drawing>
          <wp:anchor distT="0" distB="0" distL="114300" distR="114300" simplePos="0" relativeHeight="251660288" behindDoc="0" locked="0" layoutInCell="1" allowOverlap="1" wp14:anchorId="5B50DF4D" wp14:editId="29DCC4C3">
            <wp:simplePos x="0" y="0"/>
            <wp:positionH relativeFrom="margin">
              <wp:posOffset>996315</wp:posOffset>
            </wp:positionH>
            <wp:positionV relativeFrom="paragraph">
              <wp:posOffset>19050</wp:posOffset>
            </wp:positionV>
            <wp:extent cx="3762375" cy="2373630"/>
            <wp:effectExtent l="19050" t="19050" r="28575" b="26670"/>
            <wp:wrapThrough wrapText="bothSides">
              <wp:wrapPolygon edited="0">
                <wp:start x="-109" y="-173"/>
                <wp:lineTo x="-109" y="21669"/>
                <wp:lineTo x="21655" y="21669"/>
                <wp:lineTo x="21655" y="-173"/>
                <wp:lineTo x="-109" y="-173"/>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62375" cy="2373630"/>
                    </a:xfrm>
                    <a:prstGeom prst="rect">
                      <a:avLst/>
                    </a:prstGeom>
                    <a:ln>
                      <a:solidFill>
                        <a:schemeClr val="bg1">
                          <a:lumMod val="65000"/>
                        </a:schemeClr>
                      </a:solidFill>
                    </a:ln>
                  </pic:spPr>
                </pic:pic>
              </a:graphicData>
            </a:graphic>
            <wp14:sizeRelH relativeFrom="page">
              <wp14:pctWidth>0</wp14:pctWidth>
            </wp14:sizeRelH>
            <wp14:sizeRelV relativeFrom="page">
              <wp14:pctHeight>0</wp14:pctHeight>
            </wp14:sizeRelV>
          </wp:anchor>
        </w:drawing>
      </w:r>
    </w:p>
    <w:p w14:paraId="73D212FD" w14:textId="739BD391" w:rsidR="00590A66" w:rsidRPr="00590A66" w:rsidRDefault="00590A66" w:rsidP="00590A66">
      <w:pPr>
        <w:shd w:val="clear" w:color="auto" w:fill="FFFFFF"/>
        <w:jc w:val="both"/>
        <w:textAlignment w:val="baseline"/>
        <w:rPr>
          <w:rFonts w:ascii="Tahoma" w:hAnsi="Tahoma" w:cs="Tahoma"/>
          <w:shd w:val="clear" w:color="auto" w:fill="FFFFFF"/>
        </w:rPr>
      </w:pPr>
    </w:p>
    <w:p w14:paraId="5D2F7130" w14:textId="711FDB21"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6. Conclusiones</w:t>
      </w:r>
    </w:p>
    <w:p w14:paraId="5E7C2C79" w14:textId="77777777" w:rsidR="00590A66" w:rsidRPr="00590A66" w:rsidRDefault="00590A66" w:rsidP="00590A66">
      <w:pPr>
        <w:pStyle w:val="NormalWeb"/>
        <w:jc w:val="both"/>
        <w:rPr>
          <w:rFonts w:ascii="Tahoma" w:hAnsi="Tahoma" w:cs="Tahoma"/>
        </w:rPr>
      </w:pPr>
      <w:r w:rsidRPr="00590A66">
        <w:rPr>
          <w:rFonts w:ascii="Tahoma" w:hAnsi="Tahoma" w:cs="Tahoma"/>
        </w:rPr>
        <w:t>Se recomienda continuar con el monitoreo semanal de los radicados vencidos y aquellos próximos a vencer, con el fin de prevenir extemporaneidades y garantizar el cumplimiento de los términos establecidos. Asimismo, es necesario reforzar las alertas internas en las dependencias que presentan mayor reincidencia en incumplimientos, fortaleciendo los mecanismos de control preventivo.</w:t>
      </w:r>
    </w:p>
    <w:p w14:paraId="5CC2FF10" w14:textId="77777777" w:rsidR="00590A66" w:rsidRPr="00590A66" w:rsidRDefault="00590A66" w:rsidP="00590A66">
      <w:pPr>
        <w:pStyle w:val="NormalWeb"/>
        <w:jc w:val="both"/>
        <w:rPr>
          <w:rFonts w:ascii="Tahoma" w:hAnsi="Tahoma" w:cs="Tahoma"/>
        </w:rPr>
      </w:pPr>
      <w:r w:rsidRPr="00590A66">
        <w:rPr>
          <w:rFonts w:ascii="Tahoma" w:hAnsi="Tahoma" w:cs="Tahoma"/>
        </w:rPr>
        <w:t>De igual manera, se sugiere programar nuevas jornadas de sensibilización orientadas a reiterar las responsabilidades frente a la gestión oportuna de las PQRSD y el adecuado uso del SGDEA Orfeo. Finalmente, en los casos reiterativos de incumplimiento, se recomienda escalar la situación a la instancia correspondiente para que se adopten las medidas pertinentes.</w:t>
      </w:r>
    </w:p>
    <w:p w14:paraId="21E421C8" w14:textId="43807516" w:rsidR="003F678F" w:rsidRDefault="008010A8" w:rsidP="00590A66">
      <w:pPr>
        <w:shd w:val="clear" w:color="auto" w:fill="FFFFFF"/>
        <w:jc w:val="both"/>
        <w:textAlignment w:val="baseline"/>
        <w:rPr>
          <w:rFonts w:ascii="Tahoma" w:eastAsia="Times New Roman" w:hAnsi="Tahoma" w:cs="Tahoma"/>
          <w:kern w:val="0"/>
          <w:sz w:val="24"/>
          <w:szCs w:val="24"/>
          <w:lang w:eastAsia="es-CO"/>
          <w14:ligatures w14:val="none"/>
        </w:rPr>
      </w:pPr>
      <w:r w:rsidRPr="008010A8">
        <w:rPr>
          <w:rFonts w:ascii="Tahoma" w:eastAsia="Times New Roman" w:hAnsi="Tahoma" w:cs="Tahoma"/>
          <w:kern w:val="0"/>
          <w:sz w:val="24"/>
          <w:szCs w:val="24"/>
          <w:lang w:eastAsia="es-CO"/>
          <w14:ligatures w14:val="none"/>
        </w:rPr>
        <w:t>Actualmente, se genera y consolida una carpeta que contiene los correos de notificación remitidos al personal por incumplimiento en los tiempos de respuesta, como soporte y evidencia del seguimiento realizado.</w:t>
      </w:r>
    </w:p>
    <w:p w14:paraId="3218990C" w14:textId="74B422D8" w:rsidR="000C6353" w:rsidRDefault="000C6353" w:rsidP="00590A66">
      <w:pPr>
        <w:shd w:val="clear" w:color="auto" w:fill="FFFFFF"/>
        <w:jc w:val="both"/>
        <w:textAlignment w:val="baseline"/>
        <w:rPr>
          <w:rFonts w:ascii="Tahoma" w:eastAsia="Times New Roman" w:hAnsi="Tahoma" w:cs="Tahoma"/>
          <w:kern w:val="0"/>
          <w:sz w:val="24"/>
          <w:szCs w:val="24"/>
          <w:lang w:eastAsia="es-CO"/>
          <w14:ligatures w14:val="none"/>
        </w:rPr>
      </w:pPr>
    </w:p>
    <w:p w14:paraId="31B44087" w14:textId="37835B90" w:rsidR="000C6353" w:rsidRPr="000C6353" w:rsidRDefault="000C6353" w:rsidP="000C6353">
      <w:pPr>
        <w:pStyle w:val="Ttulo"/>
        <w:jc w:val="both"/>
        <w:rPr>
          <w:rFonts w:cs="Tahoma"/>
          <w:color w:val="00B0F0"/>
          <w:sz w:val="22"/>
          <w:szCs w:val="22"/>
        </w:rPr>
      </w:pPr>
      <w:r w:rsidRPr="000C6353">
        <w:rPr>
          <w:rFonts w:cs="Tahoma"/>
          <w:color w:val="00B0F0"/>
          <w:sz w:val="22"/>
          <w:szCs w:val="22"/>
        </w:rPr>
        <w:t xml:space="preserve">Informe de seguimiento a respuestas de solicitudes y PQRSD mes de </w:t>
      </w:r>
      <w:r w:rsidRPr="000C6353">
        <w:rPr>
          <w:rFonts w:cs="Tahoma"/>
          <w:color w:val="00B0F0"/>
          <w:sz w:val="22"/>
          <w:szCs w:val="22"/>
        </w:rPr>
        <w:t>abril</w:t>
      </w:r>
    </w:p>
    <w:p w14:paraId="30F0738B" w14:textId="77777777"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Durante el mes de abril se desarrollaron diversas actividades orientadas al fortalecimiento del seguimiento, control y mejora continua en la gestión de las Peticiones, Quejas, Reclamos, Sugerencias y Denuncias (PQRSD) del Ministerio, con el objetivo de garantizar el cumplimiento de los tiempos de respuesta, la calidad en la atención al ciudadano y la trazabilidad de la información.</w:t>
      </w:r>
    </w:p>
    <w:p w14:paraId="138D5FAF" w14:textId="77777777"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En este contexto, se ejecutaron las siguientes acciones:</w:t>
      </w:r>
    </w:p>
    <w:p w14:paraId="6E5E3082"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1. Capacitación</w:t>
      </w:r>
    </w:p>
    <w:p w14:paraId="319C7B4A" w14:textId="61F8BDBB"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llevaron a cabo jornadas de capacitación dirigidas a los responsables de la gestión de PQRSD, con el fin de reforzar el conocimiento sobre los lineamientos normativos, los tiempos de respuesta, las responsabilidades asociadas al proceso y las buenas prácticas en la atención al ciudadano. Estas actividades permitieron fortalecer las competencias de los funcionarios y contratistas, promoviendo una gestión más eficiente y oportuna.</w:t>
      </w:r>
    </w:p>
    <w:p w14:paraId="0D54E820"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2. Elaboración de material de apoyo</w:t>
      </w:r>
    </w:p>
    <w:p w14:paraId="5B32A0FF" w14:textId="0D59D08C"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diseñó y estructuró una presentación como herramienta pedagógica para las jornadas de capacitación, la cual incluyó aspectos clave del proceso, flujogramas, responsabilidades, tiempos de atención y recomendaciones para la adecuada gestión de las solicitudes. Este insumo contribuye a la estandarización del conocimiento y facilita la apropiación de los lineamientos por parte de los usuarios.</w:t>
      </w:r>
    </w:p>
    <w:p w14:paraId="778A5F43"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3. Seguimiento y control mediante matriz de PQRSD</w:t>
      </w:r>
    </w:p>
    <w:p w14:paraId="40572BAE" w14:textId="12757B90"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realizó el monitoreo permanente de las solicitudes registradas en la matriz de PQRSD del proceso, permitiendo identificar el estado de cada caso, verificar los tiempos de gestión y detectar alertas asociadas a posibles vencimientos. Este seguimiento facilitó la toma de decisiones oportunas y el establecimiento de acciones preventivas y correctivas.</w:t>
      </w:r>
    </w:p>
    <w:p w14:paraId="18AF0926"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4. Notificaciones semanales a usuarios críticos</w:t>
      </w:r>
    </w:p>
    <w:p w14:paraId="6B339244" w14:textId="0DFEA903"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implementó el envío de notificaciones semanales dirigidas a los usuarios críticos, informando sobre el estado de sus solicitudes y alertando sobre el vencimiento de los términos de respuesta. Esta estrategia contribuyó a generar mayor control, compromiso y oportunidad en la gestión de las PQRSD.</w:t>
      </w:r>
    </w:p>
    <w:p w14:paraId="65AAFB89"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5. Recomendaciones para la gestión de ampliaciones de términos</w:t>
      </w:r>
    </w:p>
    <w:p w14:paraId="347F35A9" w14:textId="6B809A59"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reiteró a los responsables del proceso la importancia de gestionar de manera oportuna las solicitudes de ampliación de términos en aquellos casos en los que, por dependencia de insumos, información adicional o articulación con otras áreas, no sea posible emitir una respuesta dentro de los tiempos establecidos. Para ello, se enfatizó en la necesidad de generar una comunicación oficial que garantice la trazabilidad, el cumplimiento normativo y la adecuada atención al ciudadano.</w:t>
      </w:r>
    </w:p>
    <w:p w14:paraId="3E3366BC"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Resultados y conclusiones</w:t>
      </w:r>
    </w:p>
    <w:p w14:paraId="0F3A7116" w14:textId="54F9090C"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Las actividades desarrolladas durante el mes de abril permitieron fortalecer el control y seguimiento de las PQRSD, mejorar la articulación entre las dependencias involucradas y promover el cumplimiento de los tiempos de respuesta. Asimismo, se evidenció un avance en la apropiación de los lineamientos del proceso y en la implementación de buenas prácticas orientadas a la mejora continua.</w:t>
      </w:r>
    </w:p>
    <w:p w14:paraId="5011008E" w14:textId="4E681AF1" w:rsid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En conclusión, la gestión realizada contribuye al fortalecimiento de la atención al ciudadano, garantizando mayor eficiencia, transparencia y calidad en la respuesta a las solicitudes presentadas ante el Ministerio.</w:t>
      </w:r>
    </w:p>
    <w:p w14:paraId="0ADE64D3" w14:textId="10CE9AE4" w:rsid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6118E50F" w14:textId="77777777" w:rsid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77426C16" w14:textId="2B3FECB1" w:rsidR="000C6353" w:rsidRPr="000C6353" w:rsidRDefault="000C6353" w:rsidP="000C6353">
      <w:pPr>
        <w:spacing w:before="100" w:beforeAutospacing="1" w:after="100" w:afterAutospacing="1" w:line="240" w:lineRule="auto"/>
        <w:jc w:val="center"/>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Equipo de trabajo de las PQRSD para el proceso de Gestión Documental</w:t>
      </w:r>
    </w:p>
    <w:p w14:paraId="55365A42" w14:textId="2E9EBD97" w:rsidR="000C6353" w:rsidRDefault="000C6353" w:rsidP="000C6353">
      <w:pPr>
        <w:shd w:val="clear" w:color="auto" w:fill="FFFFFF"/>
        <w:jc w:val="both"/>
        <w:textAlignment w:val="baseline"/>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drawing>
          <wp:inline distT="0" distB="0" distL="0" distR="0" wp14:anchorId="33208539" wp14:editId="5A814231">
            <wp:extent cx="5612130" cy="3051175"/>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051175"/>
                    </a:xfrm>
                    <a:prstGeom prst="rect">
                      <a:avLst/>
                    </a:prstGeom>
                  </pic:spPr>
                </pic:pic>
              </a:graphicData>
            </a:graphic>
          </wp:inline>
        </w:drawing>
      </w:r>
    </w:p>
    <w:p w14:paraId="1ADC1ED4" w14:textId="5EED5F0F" w:rsidR="009A1804" w:rsidRPr="009A1804" w:rsidRDefault="009A1804" w:rsidP="000C6353">
      <w:pPr>
        <w:shd w:val="clear" w:color="auto" w:fill="FFFFFF"/>
        <w:jc w:val="both"/>
        <w:textAlignment w:val="baseline"/>
        <w:rPr>
          <w:rFonts w:ascii="Tahoma" w:eastAsia="Times New Roman" w:hAnsi="Tahoma" w:cs="Tahoma"/>
          <w:b/>
          <w:bCs/>
          <w:kern w:val="0"/>
          <w:sz w:val="24"/>
          <w:szCs w:val="24"/>
          <w:lang w:eastAsia="es-CO"/>
          <w14:ligatures w14:val="none"/>
        </w:rPr>
      </w:pPr>
      <w:r w:rsidRPr="009A1804">
        <w:rPr>
          <w:rFonts w:ascii="Tahoma" w:eastAsia="Times New Roman" w:hAnsi="Tahoma" w:cs="Tahoma"/>
          <w:b/>
          <w:bCs/>
          <w:kern w:val="0"/>
          <w:sz w:val="24"/>
          <w:szCs w:val="24"/>
          <w:lang w:eastAsia="es-CO"/>
          <w14:ligatures w14:val="none"/>
        </w:rPr>
        <w:t>Acta asistencia Capacitación</w:t>
      </w:r>
    </w:p>
    <w:p w14:paraId="5364A341" w14:textId="241A3DC0"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r w:rsidRPr="009A1804">
        <w:rPr>
          <w:rFonts w:ascii="Tahoma" w:eastAsia="Times New Roman" w:hAnsi="Tahoma" w:cs="Tahoma"/>
          <w:kern w:val="0"/>
          <w:sz w:val="24"/>
          <w:szCs w:val="24"/>
          <w:lang w:eastAsia="es-CO"/>
          <w14:ligatures w14:val="none"/>
        </w:rPr>
        <w:drawing>
          <wp:inline distT="0" distB="0" distL="0" distR="0" wp14:anchorId="6F1F6E1D" wp14:editId="006B0137">
            <wp:extent cx="5612130" cy="337185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371850"/>
                    </a:xfrm>
                    <a:prstGeom prst="rect">
                      <a:avLst/>
                    </a:prstGeom>
                  </pic:spPr>
                </pic:pic>
              </a:graphicData>
            </a:graphic>
          </wp:inline>
        </w:drawing>
      </w:r>
    </w:p>
    <w:p w14:paraId="0A6DB751" w14:textId="7274DF23"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r>
        <w:rPr>
          <w:rFonts w:ascii="Tahoma" w:eastAsia="Times New Roman" w:hAnsi="Tahoma" w:cs="Tahoma"/>
          <w:kern w:val="0"/>
          <w:sz w:val="24"/>
          <w:szCs w:val="24"/>
          <w:lang w:eastAsia="es-CO"/>
          <w14:ligatures w14:val="none"/>
        </w:rPr>
        <w:t xml:space="preserve">Link matriz PQRSD para el mes de abril: </w:t>
      </w:r>
      <w:hyperlink r:id="rId22" w:history="1">
        <w:r w:rsidRPr="00132F9D">
          <w:rPr>
            <w:rStyle w:val="Hipervnculo"/>
            <w:rFonts w:ascii="Tahoma" w:eastAsia="Times New Roman" w:hAnsi="Tahoma" w:cs="Tahoma"/>
            <w:kern w:val="0"/>
            <w:sz w:val="24"/>
            <w:szCs w:val="24"/>
            <w:lang w:eastAsia="es-CO"/>
            <w14:ligatures w14:val="none"/>
          </w:rPr>
          <w:t>https://minagriculturaco-my.sharepoint.com/:x:/r/personal/jhonnattan_rodriguez_minagricultura_gov_co/_layouts/15/Doc.aspx?sourcedoc=%7BD38A8022-0D63-4613-AECD-F2AEED790535%7D&amp;file=PQRDS%20CONTINGENCIA%202026.xlsx&amp;fromShare=true&amp;action=default&amp;mobileredirect=true</w:t>
        </w:r>
      </w:hyperlink>
      <w:r>
        <w:rPr>
          <w:rFonts w:ascii="Tahoma" w:eastAsia="Times New Roman" w:hAnsi="Tahoma" w:cs="Tahoma"/>
          <w:kern w:val="0"/>
          <w:sz w:val="24"/>
          <w:szCs w:val="24"/>
          <w:lang w:eastAsia="es-CO"/>
          <w14:ligatures w14:val="none"/>
        </w:rPr>
        <w:t xml:space="preserve"> </w:t>
      </w:r>
    </w:p>
    <w:p w14:paraId="5DCB4A7C" w14:textId="5AF54EF0"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p>
    <w:p w14:paraId="0FE22981" w14:textId="77777777" w:rsidR="009A1804" w:rsidRPr="000C6353"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p>
    <w:sectPr w:rsidR="009A1804" w:rsidRPr="000C6353" w:rsidSect="00384F7F">
      <w:pgSz w:w="12240" w:h="15840"/>
      <w:pgMar w:top="1701" w:right="1701" w:bottom="1701" w:left="1701" w:header="709" w:footer="9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DF7AF" w14:textId="77777777" w:rsidR="00212681" w:rsidRDefault="00212681" w:rsidP="00757B36">
      <w:pPr>
        <w:spacing w:after="0" w:line="240" w:lineRule="auto"/>
      </w:pPr>
      <w:r>
        <w:separator/>
      </w:r>
    </w:p>
  </w:endnote>
  <w:endnote w:type="continuationSeparator" w:id="0">
    <w:p w14:paraId="3E5E5461" w14:textId="77777777" w:rsidR="00212681" w:rsidRDefault="00212681"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64F761" w14:textId="77777777" w:rsidR="00212681" w:rsidRDefault="00212681" w:rsidP="00757B36">
      <w:pPr>
        <w:spacing w:after="0" w:line="240" w:lineRule="auto"/>
      </w:pPr>
      <w:r>
        <w:separator/>
      </w:r>
    </w:p>
  </w:footnote>
  <w:footnote w:type="continuationSeparator" w:id="0">
    <w:p w14:paraId="4089491A" w14:textId="77777777" w:rsidR="00212681" w:rsidRDefault="00212681" w:rsidP="00757B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DC643D"/>
    <w:multiLevelType w:val="hybridMultilevel"/>
    <w:tmpl w:val="648A6E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F670CD9"/>
    <w:multiLevelType w:val="hybridMultilevel"/>
    <w:tmpl w:val="31BED7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C5F7BA4"/>
    <w:multiLevelType w:val="multilevel"/>
    <w:tmpl w:val="08146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65542E"/>
    <w:multiLevelType w:val="multilevel"/>
    <w:tmpl w:val="57C47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D74F8B"/>
    <w:multiLevelType w:val="hybridMultilevel"/>
    <w:tmpl w:val="A4AA9D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1496BCD"/>
    <w:multiLevelType w:val="hybridMultilevel"/>
    <w:tmpl w:val="DEEA50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55C3BAE"/>
    <w:multiLevelType w:val="multilevel"/>
    <w:tmpl w:val="96388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74E3B2B"/>
    <w:multiLevelType w:val="multilevel"/>
    <w:tmpl w:val="38765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F26383F"/>
    <w:multiLevelType w:val="multilevel"/>
    <w:tmpl w:val="A19690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E873CEA"/>
    <w:multiLevelType w:val="multilevel"/>
    <w:tmpl w:val="5AF87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67C657C"/>
    <w:multiLevelType w:val="multilevel"/>
    <w:tmpl w:val="22125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A0877FD"/>
    <w:multiLevelType w:val="hybridMultilevel"/>
    <w:tmpl w:val="D4CE88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C8B700C"/>
    <w:multiLevelType w:val="multilevel"/>
    <w:tmpl w:val="82C2B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25211F8"/>
    <w:multiLevelType w:val="multilevel"/>
    <w:tmpl w:val="1AC2E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3"/>
  </w:num>
  <w:num w:numId="3">
    <w:abstractNumId w:val="7"/>
  </w:num>
  <w:num w:numId="4">
    <w:abstractNumId w:val="2"/>
  </w:num>
  <w:num w:numId="5">
    <w:abstractNumId w:val="9"/>
  </w:num>
  <w:num w:numId="6">
    <w:abstractNumId w:val="3"/>
  </w:num>
  <w:num w:numId="7">
    <w:abstractNumId w:val="8"/>
  </w:num>
  <w:num w:numId="8">
    <w:abstractNumId w:val="12"/>
  </w:num>
  <w:num w:numId="9">
    <w:abstractNumId w:val="6"/>
  </w:num>
  <w:num w:numId="10">
    <w:abstractNumId w:val="4"/>
  </w:num>
  <w:num w:numId="11">
    <w:abstractNumId w:val="1"/>
  </w:num>
  <w:num w:numId="12">
    <w:abstractNumId w:val="11"/>
  </w:num>
  <w:num w:numId="13">
    <w:abstractNumId w:val="0"/>
  </w:num>
  <w:num w:numId="14">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B36"/>
    <w:rsid w:val="00000182"/>
    <w:rsid w:val="00000B91"/>
    <w:rsid w:val="00005939"/>
    <w:rsid w:val="00026CE3"/>
    <w:rsid w:val="00036AFC"/>
    <w:rsid w:val="000375DD"/>
    <w:rsid w:val="00043A45"/>
    <w:rsid w:val="00046531"/>
    <w:rsid w:val="00062340"/>
    <w:rsid w:val="00072879"/>
    <w:rsid w:val="000774D8"/>
    <w:rsid w:val="00077908"/>
    <w:rsid w:val="00077A6F"/>
    <w:rsid w:val="00090ECA"/>
    <w:rsid w:val="000C1E69"/>
    <w:rsid w:val="000C6353"/>
    <w:rsid w:val="000C74E0"/>
    <w:rsid w:val="000D16C2"/>
    <w:rsid w:val="000E0502"/>
    <w:rsid w:val="000E4C8C"/>
    <w:rsid w:val="000F2FD3"/>
    <w:rsid w:val="00104EBB"/>
    <w:rsid w:val="00114AC6"/>
    <w:rsid w:val="00127D0D"/>
    <w:rsid w:val="0014562A"/>
    <w:rsid w:val="001472CB"/>
    <w:rsid w:val="00147904"/>
    <w:rsid w:val="001521C7"/>
    <w:rsid w:val="00171584"/>
    <w:rsid w:val="00171ABB"/>
    <w:rsid w:val="00177AAE"/>
    <w:rsid w:val="001855BE"/>
    <w:rsid w:val="00185A2E"/>
    <w:rsid w:val="001951B9"/>
    <w:rsid w:val="001A1466"/>
    <w:rsid w:val="001B40C1"/>
    <w:rsid w:val="001B5648"/>
    <w:rsid w:val="001B7D7B"/>
    <w:rsid w:val="001D0631"/>
    <w:rsid w:val="001D237A"/>
    <w:rsid w:val="001E3545"/>
    <w:rsid w:val="001E66BB"/>
    <w:rsid w:val="001F0755"/>
    <w:rsid w:val="00205447"/>
    <w:rsid w:val="002117A2"/>
    <w:rsid w:val="00212681"/>
    <w:rsid w:val="002233BC"/>
    <w:rsid w:val="0024059D"/>
    <w:rsid w:val="00244353"/>
    <w:rsid w:val="00255542"/>
    <w:rsid w:val="00256928"/>
    <w:rsid w:val="00260833"/>
    <w:rsid w:val="00276E45"/>
    <w:rsid w:val="00281D52"/>
    <w:rsid w:val="002839DC"/>
    <w:rsid w:val="00290BE0"/>
    <w:rsid w:val="002916E4"/>
    <w:rsid w:val="00295FCE"/>
    <w:rsid w:val="002A32F6"/>
    <w:rsid w:val="002A7B45"/>
    <w:rsid w:val="002B7964"/>
    <w:rsid w:val="002C20FF"/>
    <w:rsid w:val="002C58D1"/>
    <w:rsid w:val="002C6D7D"/>
    <w:rsid w:val="002C794E"/>
    <w:rsid w:val="002D73FB"/>
    <w:rsid w:val="002E320C"/>
    <w:rsid w:val="002E3720"/>
    <w:rsid w:val="002E51E7"/>
    <w:rsid w:val="002E60A0"/>
    <w:rsid w:val="00300BCE"/>
    <w:rsid w:val="0030489C"/>
    <w:rsid w:val="00307B84"/>
    <w:rsid w:val="003125C2"/>
    <w:rsid w:val="00326B5E"/>
    <w:rsid w:val="0032764E"/>
    <w:rsid w:val="00333445"/>
    <w:rsid w:val="003352EE"/>
    <w:rsid w:val="003426BD"/>
    <w:rsid w:val="00344FA8"/>
    <w:rsid w:val="00346886"/>
    <w:rsid w:val="00350F12"/>
    <w:rsid w:val="0035317F"/>
    <w:rsid w:val="003535B5"/>
    <w:rsid w:val="00353816"/>
    <w:rsid w:val="00353A87"/>
    <w:rsid w:val="0037016F"/>
    <w:rsid w:val="00381025"/>
    <w:rsid w:val="00384012"/>
    <w:rsid w:val="00384F7F"/>
    <w:rsid w:val="00390DE6"/>
    <w:rsid w:val="003923C3"/>
    <w:rsid w:val="00395A0D"/>
    <w:rsid w:val="003A7FA2"/>
    <w:rsid w:val="003C222C"/>
    <w:rsid w:val="003E5DD6"/>
    <w:rsid w:val="003F0245"/>
    <w:rsid w:val="003F3E5C"/>
    <w:rsid w:val="003F678F"/>
    <w:rsid w:val="00400078"/>
    <w:rsid w:val="00402879"/>
    <w:rsid w:val="00410D59"/>
    <w:rsid w:val="00412830"/>
    <w:rsid w:val="00417962"/>
    <w:rsid w:val="00430572"/>
    <w:rsid w:val="00432983"/>
    <w:rsid w:val="004344A5"/>
    <w:rsid w:val="00435D49"/>
    <w:rsid w:val="00436E05"/>
    <w:rsid w:val="004422B9"/>
    <w:rsid w:val="004439DC"/>
    <w:rsid w:val="004546FF"/>
    <w:rsid w:val="00454D3C"/>
    <w:rsid w:val="00454E60"/>
    <w:rsid w:val="0045686E"/>
    <w:rsid w:val="0046025B"/>
    <w:rsid w:val="004646A9"/>
    <w:rsid w:val="00476019"/>
    <w:rsid w:val="004827D6"/>
    <w:rsid w:val="00487A7D"/>
    <w:rsid w:val="0049347A"/>
    <w:rsid w:val="004949F7"/>
    <w:rsid w:val="0049740F"/>
    <w:rsid w:val="004A17ED"/>
    <w:rsid w:val="004A6192"/>
    <w:rsid w:val="004B2677"/>
    <w:rsid w:val="004B5D5D"/>
    <w:rsid w:val="004B6CC1"/>
    <w:rsid w:val="004C5BC3"/>
    <w:rsid w:val="004C6C7A"/>
    <w:rsid w:val="004D39EC"/>
    <w:rsid w:val="004E22B3"/>
    <w:rsid w:val="004E59CF"/>
    <w:rsid w:val="004F0002"/>
    <w:rsid w:val="00512E1E"/>
    <w:rsid w:val="00514C60"/>
    <w:rsid w:val="00517300"/>
    <w:rsid w:val="005268ED"/>
    <w:rsid w:val="00535F27"/>
    <w:rsid w:val="00536F0C"/>
    <w:rsid w:val="0054748F"/>
    <w:rsid w:val="00555B87"/>
    <w:rsid w:val="0056341E"/>
    <w:rsid w:val="00563840"/>
    <w:rsid w:val="00566357"/>
    <w:rsid w:val="00566B69"/>
    <w:rsid w:val="005702F4"/>
    <w:rsid w:val="005726AF"/>
    <w:rsid w:val="00575AA1"/>
    <w:rsid w:val="00577277"/>
    <w:rsid w:val="005808F8"/>
    <w:rsid w:val="005827C1"/>
    <w:rsid w:val="00590A66"/>
    <w:rsid w:val="005915C4"/>
    <w:rsid w:val="00595DBE"/>
    <w:rsid w:val="00597A52"/>
    <w:rsid w:val="005A4814"/>
    <w:rsid w:val="005B7631"/>
    <w:rsid w:val="005D52F4"/>
    <w:rsid w:val="005D62CE"/>
    <w:rsid w:val="005D6834"/>
    <w:rsid w:val="005D6862"/>
    <w:rsid w:val="005E62D5"/>
    <w:rsid w:val="006002A4"/>
    <w:rsid w:val="00617535"/>
    <w:rsid w:val="00620182"/>
    <w:rsid w:val="0063245F"/>
    <w:rsid w:val="00655713"/>
    <w:rsid w:val="006604A2"/>
    <w:rsid w:val="00660CCF"/>
    <w:rsid w:val="0066410A"/>
    <w:rsid w:val="0067532E"/>
    <w:rsid w:val="006A1A0C"/>
    <w:rsid w:val="006A6547"/>
    <w:rsid w:val="006B1806"/>
    <w:rsid w:val="006C0388"/>
    <w:rsid w:val="006C2E28"/>
    <w:rsid w:val="006C76BA"/>
    <w:rsid w:val="006D050A"/>
    <w:rsid w:val="006E3B8E"/>
    <w:rsid w:val="006F150D"/>
    <w:rsid w:val="006F5ED2"/>
    <w:rsid w:val="007038C7"/>
    <w:rsid w:val="007059E0"/>
    <w:rsid w:val="00706C42"/>
    <w:rsid w:val="00720228"/>
    <w:rsid w:val="007269BE"/>
    <w:rsid w:val="0074068F"/>
    <w:rsid w:val="00757B08"/>
    <w:rsid w:val="00757B36"/>
    <w:rsid w:val="00762BBF"/>
    <w:rsid w:val="0077053D"/>
    <w:rsid w:val="00792ECB"/>
    <w:rsid w:val="007A0829"/>
    <w:rsid w:val="007A23D1"/>
    <w:rsid w:val="007A5939"/>
    <w:rsid w:val="007B238A"/>
    <w:rsid w:val="007B289E"/>
    <w:rsid w:val="007B3E3C"/>
    <w:rsid w:val="007B4B3B"/>
    <w:rsid w:val="007B658E"/>
    <w:rsid w:val="007C4770"/>
    <w:rsid w:val="007D044C"/>
    <w:rsid w:val="007D1AD0"/>
    <w:rsid w:val="007D4FCB"/>
    <w:rsid w:val="007D52ED"/>
    <w:rsid w:val="007D7FE4"/>
    <w:rsid w:val="007E20D2"/>
    <w:rsid w:val="007E45F3"/>
    <w:rsid w:val="007E498E"/>
    <w:rsid w:val="007E74F5"/>
    <w:rsid w:val="007F6DF2"/>
    <w:rsid w:val="00800DA0"/>
    <w:rsid w:val="008010A8"/>
    <w:rsid w:val="0080152D"/>
    <w:rsid w:val="008018C5"/>
    <w:rsid w:val="00806054"/>
    <w:rsid w:val="008105C8"/>
    <w:rsid w:val="00815BE0"/>
    <w:rsid w:val="00817530"/>
    <w:rsid w:val="00824243"/>
    <w:rsid w:val="00830F62"/>
    <w:rsid w:val="008365AF"/>
    <w:rsid w:val="00837CBF"/>
    <w:rsid w:val="00843AF8"/>
    <w:rsid w:val="0085745B"/>
    <w:rsid w:val="00863B9C"/>
    <w:rsid w:val="008645F1"/>
    <w:rsid w:val="00866950"/>
    <w:rsid w:val="00867916"/>
    <w:rsid w:val="00870C26"/>
    <w:rsid w:val="00871C24"/>
    <w:rsid w:val="0088226D"/>
    <w:rsid w:val="00886E3E"/>
    <w:rsid w:val="00891DE6"/>
    <w:rsid w:val="008B05BE"/>
    <w:rsid w:val="008B306F"/>
    <w:rsid w:val="008B330A"/>
    <w:rsid w:val="008C493F"/>
    <w:rsid w:val="008C5C7D"/>
    <w:rsid w:val="008F3D42"/>
    <w:rsid w:val="008F77EC"/>
    <w:rsid w:val="00905656"/>
    <w:rsid w:val="009170CC"/>
    <w:rsid w:val="009265F9"/>
    <w:rsid w:val="009327DD"/>
    <w:rsid w:val="00940DD2"/>
    <w:rsid w:val="00947C55"/>
    <w:rsid w:val="009622ED"/>
    <w:rsid w:val="00977352"/>
    <w:rsid w:val="009805FC"/>
    <w:rsid w:val="00980755"/>
    <w:rsid w:val="0098170F"/>
    <w:rsid w:val="00981BFF"/>
    <w:rsid w:val="00982F69"/>
    <w:rsid w:val="009A1804"/>
    <w:rsid w:val="009B72F5"/>
    <w:rsid w:val="009C0068"/>
    <w:rsid w:val="009C28E4"/>
    <w:rsid w:val="009D51C9"/>
    <w:rsid w:val="009E0DE8"/>
    <w:rsid w:val="009E7B9F"/>
    <w:rsid w:val="009F798E"/>
    <w:rsid w:val="00A05A02"/>
    <w:rsid w:val="00A14E86"/>
    <w:rsid w:val="00A1589E"/>
    <w:rsid w:val="00A242B3"/>
    <w:rsid w:val="00A278C4"/>
    <w:rsid w:val="00A32FBE"/>
    <w:rsid w:val="00A45DF4"/>
    <w:rsid w:val="00A54114"/>
    <w:rsid w:val="00A54BC4"/>
    <w:rsid w:val="00A55A81"/>
    <w:rsid w:val="00A70855"/>
    <w:rsid w:val="00A72CB6"/>
    <w:rsid w:val="00A8520C"/>
    <w:rsid w:val="00A87F54"/>
    <w:rsid w:val="00A917B3"/>
    <w:rsid w:val="00AA36F8"/>
    <w:rsid w:val="00AA3E90"/>
    <w:rsid w:val="00AB495A"/>
    <w:rsid w:val="00AB725A"/>
    <w:rsid w:val="00AC72F1"/>
    <w:rsid w:val="00AD5B8C"/>
    <w:rsid w:val="00B0405B"/>
    <w:rsid w:val="00B07AD6"/>
    <w:rsid w:val="00B102E2"/>
    <w:rsid w:val="00B10FE1"/>
    <w:rsid w:val="00B375F7"/>
    <w:rsid w:val="00B37F37"/>
    <w:rsid w:val="00B409FF"/>
    <w:rsid w:val="00B51ADB"/>
    <w:rsid w:val="00B7012E"/>
    <w:rsid w:val="00B75556"/>
    <w:rsid w:val="00B84EE7"/>
    <w:rsid w:val="00B8706D"/>
    <w:rsid w:val="00BA2680"/>
    <w:rsid w:val="00BB4FCC"/>
    <w:rsid w:val="00BC4AF6"/>
    <w:rsid w:val="00BC7D3F"/>
    <w:rsid w:val="00BD0499"/>
    <w:rsid w:val="00BD4095"/>
    <w:rsid w:val="00BD54EA"/>
    <w:rsid w:val="00BF370D"/>
    <w:rsid w:val="00C10755"/>
    <w:rsid w:val="00C25F62"/>
    <w:rsid w:val="00C26BFB"/>
    <w:rsid w:val="00C27978"/>
    <w:rsid w:val="00C27D30"/>
    <w:rsid w:val="00C329FC"/>
    <w:rsid w:val="00C40F52"/>
    <w:rsid w:val="00C414D9"/>
    <w:rsid w:val="00C4211F"/>
    <w:rsid w:val="00C53AD4"/>
    <w:rsid w:val="00C57F1D"/>
    <w:rsid w:val="00C83B7A"/>
    <w:rsid w:val="00CA04F6"/>
    <w:rsid w:val="00CA5A1A"/>
    <w:rsid w:val="00CB044F"/>
    <w:rsid w:val="00CC55CE"/>
    <w:rsid w:val="00CD0A68"/>
    <w:rsid w:val="00CE0E59"/>
    <w:rsid w:val="00CE26E5"/>
    <w:rsid w:val="00CE3DD9"/>
    <w:rsid w:val="00CF21DF"/>
    <w:rsid w:val="00CF36AC"/>
    <w:rsid w:val="00CF73D5"/>
    <w:rsid w:val="00D02BC2"/>
    <w:rsid w:val="00D0654C"/>
    <w:rsid w:val="00D16B96"/>
    <w:rsid w:val="00D20CDC"/>
    <w:rsid w:val="00D228DF"/>
    <w:rsid w:val="00D34D20"/>
    <w:rsid w:val="00D40F75"/>
    <w:rsid w:val="00D41148"/>
    <w:rsid w:val="00D504DF"/>
    <w:rsid w:val="00D50A69"/>
    <w:rsid w:val="00D56140"/>
    <w:rsid w:val="00D73D69"/>
    <w:rsid w:val="00D849E5"/>
    <w:rsid w:val="00D93A3D"/>
    <w:rsid w:val="00DA098A"/>
    <w:rsid w:val="00DA1A58"/>
    <w:rsid w:val="00DA5605"/>
    <w:rsid w:val="00DA71D7"/>
    <w:rsid w:val="00DE127F"/>
    <w:rsid w:val="00DE7A56"/>
    <w:rsid w:val="00DF1CA1"/>
    <w:rsid w:val="00DF6225"/>
    <w:rsid w:val="00E01325"/>
    <w:rsid w:val="00E0581D"/>
    <w:rsid w:val="00E07997"/>
    <w:rsid w:val="00E20CC4"/>
    <w:rsid w:val="00E20CF3"/>
    <w:rsid w:val="00E326AE"/>
    <w:rsid w:val="00E32BC7"/>
    <w:rsid w:val="00E3392D"/>
    <w:rsid w:val="00E50AFA"/>
    <w:rsid w:val="00E724DA"/>
    <w:rsid w:val="00E72D6E"/>
    <w:rsid w:val="00E80266"/>
    <w:rsid w:val="00E8102B"/>
    <w:rsid w:val="00EA659B"/>
    <w:rsid w:val="00EA6B17"/>
    <w:rsid w:val="00EC0E21"/>
    <w:rsid w:val="00EC1732"/>
    <w:rsid w:val="00EC2BC0"/>
    <w:rsid w:val="00EC541D"/>
    <w:rsid w:val="00EC5E20"/>
    <w:rsid w:val="00EE2C0D"/>
    <w:rsid w:val="00EE5007"/>
    <w:rsid w:val="00EF0033"/>
    <w:rsid w:val="00EF3493"/>
    <w:rsid w:val="00EF4467"/>
    <w:rsid w:val="00F02AF6"/>
    <w:rsid w:val="00F11875"/>
    <w:rsid w:val="00F142F6"/>
    <w:rsid w:val="00F21F64"/>
    <w:rsid w:val="00F46974"/>
    <w:rsid w:val="00F475B3"/>
    <w:rsid w:val="00F639CE"/>
    <w:rsid w:val="00F73FB5"/>
    <w:rsid w:val="00F7452B"/>
    <w:rsid w:val="00F816E7"/>
    <w:rsid w:val="00F93BD9"/>
    <w:rsid w:val="00F96CC0"/>
    <w:rsid w:val="00FB5D08"/>
    <w:rsid w:val="00FC4F6A"/>
    <w:rsid w:val="00FC5D04"/>
    <w:rsid w:val="00FD04F7"/>
    <w:rsid w:val="00FD4CB2"/>
    <w:rsid w:val="00FD5264"/>
    <w:rsid w:val="00FE0851"/>
    <w:rsid w:val="00FE1577"/>
    <w:rsid w:val="00FE4B0A"/>
    <w:rsid w:val="00FE4FD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289E"/>
  </w:style>
  <w:style w:type="paragraph" w:styleId="Ttulo1">
    <w:name w:val="heading 1"/>
    <w:basedOn w:val="Normal"/>
    <w:next w:val="Normal"/>
    <w:link w:val="Ttulo1Car"/>
    <w:uiPriority w:val="9"/>
    <w:qFormat/>
    <w:rsid w:val="007A593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B72F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6F15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1E354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
    <w:name w:val="Unresolved Mention"/>
    <w:basedOn w:val="Fuentedeprrafopredeter"/>
    <w:uiPriority w:val="99"/>
    <w:semiHidden/>
    <w:unhideWhenUsed/>
    <w:rsid w:val="00757B36"/>
    <w:rPr>
      <w:color w:val="605E5C"/>
      <w:shd w:val="clear" w:color="auto" w:fill="E1DFDD"/>
    </w:rPr>
  </w:style>
  <w:style w:type="paragraph" w:styleId="Prrafodelista">
    <w:name w:val="List Paragraph"/>
    <w:basedOn w:val="Normal"/>
    <w:link w:val="PrrafodelistaCar"/>
    <w:uiPriority w:val="34"/>
    <w:qFormat/>
    <w:rsid w:val="00757B36"/>
    <w:pPr>
      <w:ind w:left="720"/>
      <w:contextualSpacing/>
    </w:pPr>
  </w:style>
  <w:style w:type="character" w:styleId="Hipervnculovisitado">
    <w:name w:val="FollowedHyperlink"/>
    <w:basedOn w:val="Fuentedeprrafopredeter"/>
    <w:uiPriority w:val="99"/>
    <w:semiHidden/>
    <w:unhideWhenUsed/>
    <w:rsid w:val="002E51E7"/>
    <w:rPr>
      <w:color w:val="954F72" w:themeColor="followedHyperlink"/>
      <w:u w:val="single"/>
    </w:rPr>
  </w:style>
  <w:style w:type="character" w:customStyle="1" w:styleId="Ttulo1Car">
    <w:name w:val="Título 1 Car"/>
    <w:basedOn w:val="Fuentedeprrafopredeter"/>
    <w:link w:val="Ttulo1"/>
    <w:uiPriority w:val="9"/>
    <w:rsid w:val="007A5939"/>
    <w:rPr>
      <w:rFonts w:asciiTheme="majorHAnsi" w:eastAsiaTheme="majorEastAsia" w:hAnsiTheme="majorHAnsi" w:cstheme="majorBidi"/>
      <w:color w:val="2F5496" w:themeColor="accent1" w:themeShade="BF"/>
      <w:sz w:val="32"/>
      <w:szCs w:val="32"/>
    </w:rPr>
  </w:style>
  <w:style w:type="paragraph" w:customStyle="1" w:styleId="Estilo1">
    <w:name w:val="Estilo1"/>
    <w:basedOn w:val="Ttulo1"/>
    <w:qFormat/>
    <w:rsid w:val="007A5939"/>
    <w:rPr>
      <w:rFonts w:ascii="Tahoma" w:hAnsi="Tahoma"/>
      <w:b/>
      <w:color w:val="000000" w:themeColor="text1"/>
      <w:sz w:val="24"/>
    </w:rPr>
  </w:style>
  <w:style w:type="paragraph" w:customStyle="1" w:styleId="Estilo2">
    <w:name w:val="Estilo2"/>
    <w:basedOn w:val="Normal"/>
    <w:next w:val="Sinespaciado"/>
    <w:qFormat/>
    <w:rsid w:val="007A5939"/>
  </w:style>
  <w:style w:type="paragraph" w:styleId="Sinespaciado">
    <w:name w:val="No Spacing"/>
    <w:uiPriority w:val="1"/>
    <w:qFormat/>
    <w:rsid w:val="007A5939"/>
    <w:pPr>
      <w:spacing w:after="0" w:line="240" w:lineRule="auto"/>
    </w:pPr>
  </w:style>
  <w:style w:type="paragraph" w:styleId="NormalWeb">
    <w:name w:val="Normal (Web)"/>
    <w:basedOn w:val="Normal"/>
    <w:uiPriority w:val="99"/>
    <w:unhideWhenUsed/>
    <w:rsid w:val="001521C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styleId="Textoennegrita">
    <w:name w:val="Strong"/>
    <w:basedOn w:val="Fuentedeprrafopredeter"/>
    <w:uiPriority w:val="22"/>
    <w:qFormat/>
    <w:rsid w:val="001521C7"/>
    <w:rPr>
      <w:b/>
      <w:bCs/>
    </w:rPr>
  </w:style>
  <w:style w:type="paragraph" w:customStyle="1" w:styleId="Default">
    <w:name w:val="Default"/>
    <w:rsid w:val="00CE3DD9"/>
    <w:pPr>
      <w:autoSpaceDE w:val="0"/>
      <w:autoSpaceDN w:val="0"/>
      <w:adjustRightInd w:val="0"/>
      <w:spacing w:after="0" w:line="240" w:lineRule="auto"/>
    </w:pPr>
    <w:rPr>
      <w:rFonts w:ascii="Arial" w:hAnsi="Arial" w:cs="Arial"/>
      <w:color w:val="000000"/>
      <w:kern w:val="0"/>
      <w:sz w:val="24"/>
      <w:szCs w:val="24"/>
    </w:rPr>
  </w:style>
  <w:style w:type="character" w:styleId="nfasis">
    <w:name w:val="Emphasis"/>
    <w:basedOn w:val="Fuentedeprrafopredeter"/>
    <w:uiPriority w:val="20"/>
    <w:qFormat/>
    <w:rsid w:val="00FC4F6A"/>
    <w:rPr>
      <w:i/>
      <w:iCs/>
    </w:rPr>
  </w:style>
  <w:style w:type="table" w:styleId="Tablaconcuadrcula">
    <w:name w:val="Table Grid"/>
    <w:basedOn w:val="Tablanormal"/>
    <w:uiPriority w:val="39"/>
    <w:rsid w:val="003E5D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6F150D"/>
    <w:rPr>
      <w:rFonts w:asciiTheme="majorHAnsi" w:eastAsiaTheme="majorEastAsia" w:hAnsiTheme="majorHAnsi" w:cstheme="majorBidi"/>
      <w:color w:val="1F3763" w:themeColor="accent1" w:themeShade="7F"/>
      <w:sz w:val="24"/>
      <w:szCs w:val="24"/>
    </w:rPr>
  </w:style>
  <w:style w:type="paragraph" w:customStyle="1" w:styleId="pf0">
    <w:name w:val="pf0"/>
    <w:basedOn w:val="Normal"/>
    <w:rsid w:val="003426BD"/>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customStyle="1" w:styleId="cf01">
    <w:name w:val="cf01"/>
    <w:basedOn w:val="Fuentedeprrafopredeter"/>
    <w:rsid w:val="003426BD"/>
    <w:rPr>
      <w:rFonts w:ascii="Consolas" w:hAnsi="Consolas" w:hint="default"/>
      <w:sz w:val="22"/>
      <w:szCs w:val="22"/>
    </w:rPr>
  </w:style>
  <w:style w:type="paragraph" w:styleId="TtuloTDC">
    <w:name w:val="TOC Heading"/>
    <w:basedOn w:val="Ttulo1"/>
    <w:next w:val="Normal"/>
    <w:uiPriority w:val="39"/>
    <w:unhideWhenUsed/>
    <w:qFormat/>
    <w:rsid w:val="00E8102B"/>
    <w:pPr>
      <w:spacing w:line="259" w:lineRule="auto"/>
      <w:outlineLvl w:val="9"/>
    </w:pPr>
    <w:rPr>
      <w:kern w:val="0"/>
      <w:lang w:eastAsia="es-CO"/>
      <w14:ligatures w14:val="none"/>
    </w:rPr>
  </w:style>
  <w:style w:type="paragraph" w:styleId="TDC1">
    <w:name w:val="toc 1"/>
    <w:basedOn w:val="Normal"/>
    <w:next w:val="Normal"/>
    <w:autoRedefine/>
    <w:uiPriority w:val="39"/>
    <w:unhideWhenUsed/>
    <w:rsid w:val="00E8102B"/>
    <w:pPr>
      <w:spacing w:after="100"/>
    </w:pPr>
  </w:style>
  <w:style w:type="paragraph" w:styleId="TDC2">
    <w:name w:val="toc 2"/>
    <w:basedOn w:val="Normal"/>
    <w:next w:val="Normal"/>
    <w:autoRedefine/>
    <w:uiPriority w:val="39"/>
    <w:unhideWhenUsed/>
    <w:rsid w:val="00CA04F6"/>
    <w:pPr>
      <w:spacing w:after="100"/>
      <w:ind w:left="220"/>
    </w:pPr>
  </w:style>
  <w:style w:type="paragraph" w:styleId="Tabladeilustraciones">
    <w:name w:val="table of figures"/>
    <w:basedOn w:val="Normal"/>
    <w:next w:val="Normal"/>
    <w:uiPriority w:val="99"/>
    <w:unhideWhenUsed/>
    <w:rsid w:val="00CA04F6"/>
    <w:pPr>
      <w:spacing w:after="0" w:line="259" w:lineRule="auto"/>
    </w:pPr>
  </w:style>
  <w:style w:type="paragraph" w:styleId="Textonotapie">
    <w:name w:val="footnote text"/>
    <w:basedOn w:val="Normal"/>
    <w:link w:val="TextonotapieCar"/>
    <w:uiPriority w:val="99"/>
    <w:unhideWhenUsed/>
    <w:rsid w:val="006A1A0C"/>
    <w:pPr>
      <w:spacing w:after="0" w:line="240" w:lineRule="auto"/>
    </w:pPr>
    <w:rPr>
      <w:kern w:val="0"/>
      <w:sz w:val="20"/>
      <w:szCs w:val="20"/>
      <w14:ligatures w14:val="none"/>
    </w:rPr>
  </w:style>
  <w:style w:type="character" w:customStyle="1" w:styleId="TextonotapieCar">
    <w:name w:val="Texto nota pie Car"/>
    <w:basedOn w:val="Fuentedeprrafopredeter"/>
    <w:link w:val="Textonotapie"/>
    <w:uiPriority w:val="99"/>
    <w:rsid w:val="006A1A0C"/>
    <w:rPr>
      <w:kern w:val="0"/>
      <w:sz w:val="20"/>
      <w:szCs w:val="20"/>
      <w14:ligatures w14:val="none"/>
    </w:rPr>
  </w:style>
  <w:style w:type="character" w:styleId="Refdenotaalpie">
    <w:name w:val="footnote reference"/>
    <w:basedOn w:val="Fuentedeprrafopredeter"/>
    <w:uiPriority w:val="99"/>
    <w:unhideWhenUsed/>
    <w:rsid w:val="006A1A0C"/>
    <w:rPr>
      <w:vertAlign w:val="superscript"/>
    </w:rPr>
  </w:style>
  <w:style w:type="character" w:customStyle="1" w:styleId="cf11">
    <w:name w:val="cf11"/>
    <w:basedOn w:val="Fuentedeprrafopredeter"/>
    <w:rsid w:val="00147904"/>
    <w:rPr>
      <w:rFonts w:ascii="Consolas" w:hAnsi="Consolas" w:hint="default"/>
      <w:sz w:val="22"/>
      <w:szCs w:val="22"/>
    </w:rPr>
  </w:style>
  <w:style w:type="character" w:customStyle="1" w:styleId="Ttulo2Car">
    <w:name w:val="Título 2 Car"/>
    <w:basedOn w:val="Fuentedeprrafopredeter"/>
    <w:link w:val="Ttulo2"/>
    <w:uiPriority w:val="9"/>
    <w:rsid w:val="009B72F5"/>
    <w:rPr>
      <w:rFonts w:asciiTheme="majorHAnsi" w:eastAsiaTheme="majorEastAsia" w:hAnsiTheme="majorHAnsi" w:cstheme="majorBidi"/>
      <w:color w:val="2F5496" w:themeColor="accent1" w:themeShade="BF"/>
      <w:sz w:val="26"/>
      <w:szCs w:val="26"/>
    </w:rPr>
  </w:style>
  <w:style w:type="paragraph" w:styleId="Descripcin">
    <w:name w:val="caption"/>
    <w:basedOn w:val="Normal"/>
    <w:next w:val="Normal"/>
    <w:uiPriority w:val="35"/>
    <w:unhideWhenUsed/>
    <w:qFormat/>
    <w:rsid w:val="00DA71D7"/>
    <w:pPr>
      <w:spacing w:after="200" w:line="240" w:lineRule="auto"/>
    </w:pPr>
    <w:rPr>
      <w:i/>
      <w:iCs/>
      <w:color w:val="44546A" w:themeColor="text2"/>
      <w:kern w:val="0"/>
      <w:sz w:val="18"/>
      <w:szCs w:val="18"/>
      <w14:ligatures w14:val="none"/>
    </w:rPr>
  </w:style>
  <w:style w:type="character" w:customStyle="1" w:styleId="Ttulo4Car">
    <w:name w:val="Título 4 Car"/>
    <w:basedOn w:val="Fuentedeprrafopredeter"/>
    <w:link w:val="Ttulo4"/>
    <w:uiPriority w:val="9"/>
    <w:semiHidden/>
    <w:rsid w:val="001E3545"/>
    <w:rPr>
      <w:rFonts w:asciiTheme="majorHAnsi" w:eastAsiaTheme="majorEastAsia" w:hAnsiTheme="majorHAnsi" w:cstheme="majorBidi"/>
      <w:i/>
      <w:iCs/>
      <w:color w:val="2F5496" w:themeColor="accent1" w:themeShade="BF"/>
    </w:rPr>
  </w:style>
  <w:style w:type="paragraph" w:styleId="Citadestacada">
    <w:name w:val="Intense Quote"/>
    <w:basedOn w:val="Normal"/>
    <w:next w:val="Normal"/>
    <w:link w:val="CitadestacadaCar"/>
    <w:uiPriority w:val="30"/>
    <w:qFormat/>
    <w:rsid w:val="002233BC"/>
    <w:pPr>
      <w:pBdr>
        <w:top w:val="single" w:sz="4" w:space="10" w:color="2F5496" w:themeColor="accent1" w:themeShade="BF"/>
        <w:bottom w:val="single" w:sz="4" w:space="10" w:color="2F5496" w:themeColor="accent1" w:themeShade="BF"/>
      </w:pBdr>
      <w:spacing w:before="360" w:after="360" w:line="259" w:lineRule="auto"/>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2233BC"/>
    <w:rPr>
      <w:i/>
      <w:iCs/>
      <w:color w:val="2F5496" w:themeColor="accent1" w:themeShade="BF"/>
    </w:rPr>
  </w:style>
  <w:style w:type="character" w:customStyle="1" w:styleId="PrrafodelistaCar">
    <w:name w:val="Párrafo de lista Car"/>
    <w:link w:val="Prrafodelista"/>
    <w:uiPriority w:val="34"/>
    <w:rsid w:val="004B2677"/>
  </w:style>
  <w:style w:type="character" w:styleId="Refdecomentario">
    <w:name w:val="annotation reference"/>
    <w:basedOn w:val="Fuentedeprrafopredeter"/>
    <w:uiPriority w:val="99"/>
    <w:semiHidden/>
    <w:unhideWhenUsed/>
    <w:rsid w:val="001A1466"/>
    <w:rPr>
      <w:sz w:val="16"/>
      <w:szCs w:val="16"/>
    </w:rPr>
  </w:style>
  <w:style w:type="paragraph" w:styleId="Textocomentario">
    <w:name w:val="annotation text"/>
    <w:basedOn w:val="Normal"/>
    <w:link w:val="TextocomentarioCar"/>
    <w:uiPriority w:val="99"/>
    <w:unhideWhenUsed/>
    <w:rsid w:val="001A1466"/>
    <w:pPr>
      <w:spacing w:line="240" w:lineRule="auto"/>
    </w:pPr>
    <w:rPr>
      <w:sz w:val="20"/>
      <w:szCs w:val="20"/>
    </w:rPr>
  </w:style>
  <w:style w:type="character" w:customStyle="1" w:styleId="TextocomentarioCar">
    <w:name w:val="Texto comentario Car"/>
    <w:basedOn w:val="Fuentedeprrafopredeter"/>
    <w:link w:val="Textocomentario"/>
    <w:uiPriority w:val="99"/>
    <w:rsid w:val="001A1466"/>
    <w:rPr>
      <w:sz w:val="20"/>
      <w:szCs w:val="20"/>
    </w:rPr>
  </w:style>
  <w:style w:type="paragraph" w:styleId="Asuntodelcomentario">
    <w:name w:val="annotation subject"/>
    <w:basedOn w:val="Textocomentario"/>
    <w:next w:val="Textocomentario"/>
    <w:link w:val="AsuntodelcomentarioCar"/>
    <w:uiPriority w:val="99"/>
    <w:semiHidden/>
    <w:unhideWhenUsed/>
    <w:rsid w:val="001A1466"/>
    <w:rPr>
      <w:b/>
      <w:bCs/>
    </w:rPr>
  </w:style>
  <w:style w:type="character" w:customStyle="1" w:styleId="AsuntodelcomentarioCar">
    <w:name w:val="Asunto del comentario Car"/>
    <w:basedOn w:val="TextocomentarioCar"/>
    <w:link w:val="Asuntodelcomentario"/>
    <w:uiPriority w:val="99"/>
    <w:semiHidden/>
    <w:rsid w:val="001A1466"/>
    <w:rPr>
      <w:b/>
      <w:bCs/>
      <w:sz w:val="20"/>
      <w:szCs w:val="20"/>
    </w:rPr>
  </w:style>
  <w:style w:type="table" w:customStyle="1" w:styleId="Tablaconcuadrcula1">
    <w:name w:val="Tabla con cuadrícula1"/>
    <w:basedOn w:val="Tablanormal"/>
    <w:next w:val="Tablaconcuadrcula"/>
    <w:uiPriority w:val="39"/>
    <w:rsid w:val="00260833"/>
    <w:pPr>
      <w:spacing w:after="0" w:line="240" w:lineRule="auto"/>
    </w:pPr>
    <w:rPr>
      <w:rFonts w:eastAsiaTheme="minorEastAsia"/>
      <w:kern w:val="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6">
    <w:name w:val="Grid Table 4 Accent 6"/>
    <w:basedOn w:val="Tablanormal"/>
    <w:uiPriority w:val="49"/>
    <w:rsid w:val="002A7B45"/>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tulo">
    <w:name w:val="Title"/>
    <w:basedOn w:val="Normal"/>
    <w:next w:val="Normal"/>
    <w:link w:val="TtuloCar"/>
    <w:uiPriority w:val="10"/>
    <w:qFormat/>
    <w:rsid w:val="007B289E"/>
    <w:pPr>
      <w:spacing w:after="0" w:line="240" w:lineRule="auto"/>
      <w:contextualSpacing/>
    </w:pPr>
    <w:rPr>
      <w:rFonts w:ascii="Tahoma" w:eastAsiaTheme="majorEastAsia" w:hAnsi="Tahoma" w:cstheme="majorBidi"/>
      <w:b/>
      <w:spacing w:val="-10"/>
      <w:kern w:val="28"/>
      <w:sz w:val="24"/>
      <w:szCs w:val="56"/>
    </w:rPr>
  </w:style>
  <w:style w:type="character" w:customStyle="1" w:styleId="TtuloCar">
    <w:name w:val="Título Car"/>
    <w:basedOn w:val="Fuentedeprrafopredeter"/>
    <w:link w:val="Ttulo"/>
    <w:uiPriority w:val="10"/>
    <w:rsid w:val="007B289E"/>
    <w:rPr>
      <w:rFonts w:ascii="Tahoma" w:eastAsiaTheme="majorEastAsia" w:hAnsi="Tahoma" w:cstheme="majorBidi"/>
      <w:b/>
      <w:spacing w:val="-10"/>
      <w:kern w:val="28"/>
      <w:sz w:val="24"/>
      <w:szCs w:val="56"/>
    </w:rPr>
  </w:style>
  <w:style w:type="paragraph" w:customStyle="1" w:styleId="Estilo3">
    <w:name w:val="Estilo3"/>
    <w:basedOn w:val="Ttulo2"/>
    <w:qFormat/>
    <w:rsid w:val="00F93BD9"/>
    <w:rPr>
      <w:rFonts w:ascii="Tahoma" w:hAnsi="Tahoma"/>
      <w:b/>
      <w:color w:val="auto"/>
      <w:sz w:val="22"/>
    </w:rPr>
  </w:style>
  <w:style w:type="paragraph" w:customStyle="1" w:styleId="Estilo4">
    <w:name w:val="Estilo4"/>
    <w:basedOn w:val="Ttulo2"/>
    <w:qFormat/>
    <w:rsid w:val="00F93BD9"/>
    <w:rPr>
      <w:rFonts w:ascii="Tahoma" w:hAnsi="Tahoma"/>
      <w:b/>
      <w:color w:val="000000" w:themeColor="text1"/>
      <w:sz w:val="22"/>
    </w:rPr>
  </w:style>
  <w:style w:type="paragraph" w:customStyle="1" w:styleId="Estilo5">
    <w:name w:val="Estilo5"/>
    <w:basedOn w:val="Ttulo2"/>
    <w:qFormat/>
    <w:rsid w:val="00F93BD9"/>
    <w:rPr>
      <w:rFonts w:ascii="Tahoma" w:hAnsi="Tahoma"/>
      <w:b/>
      <w:color w:val="000000" w:themeColor="text1"/>
      <w:sz w:val="22"/>
    </w:rPr>
  </w:style>
  <w:style w:type="paragraph" w:styleId="TDC3">
    <w:name w:val="toc 3"/>
    <w:basedOn w:val="Normal"/>
    <w:next w:val="Normal"/>
    <w:autoRedefine/>
    <w:uiPriority w:val="39"/>
    <w:unhideWhenUsed/>
    <w:rsid w:val="005726AF"/>
    <w:pPr>
      <w:spacing w:after="100" w:line="259" w:lineRule="auto"/>
      <w:ind w:left="440"/>
    </w:pPr>
    <w:rPr>
      <w:rFonts w:eastAsiaTheme="minorEastAsia" w:cs="Times New Roman"/>
      <w:kern w:val="0"/>
      <w:lang w:eastAsia="es-CO"/>
      <w14:ligatures w14:val="none"/>
    </w:rPr>
  </w:style>
  <w:style w:type="paragraph" w:customStyle="1" w:styleId="Estilo6">
    <w:name w:val="Estilo6"/>
    <w:basedOn w:val="Ttulo1"/>
    <w:autoRedefine/>
    <w:qFormat/>
    <w:rsid w:val="00CB044F"/>
    <w:rPr>
      <w:rFonts w:ascii="Tahoma" w:hAnsi="Tahoma"/>
      <w:b/>
      <w:color w:val="000000" w:themeColor="text1"/>
      <w:sz w:val="22"/>
    </w:rPr>
  </w:style>
  <w:style w:type="paragraph" w:customStyle="1" w:styleId="Estilo7">
    <w:name w:val="Estilo7"/>
    <w:basedOn w:val="Ttulo1"/>
    <w:qFormat/>
    <w:rsid w:val="00CB044F"/>
    <w:rPr>
      <w:rFonts w:ascii="Tahoma" w:hAnsi="Tahoma"/>
      <w:b/>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4694">
      <w:bodyDiv w:val="1"/>
      <w:marLeft w:val="0"/>
      <w:marRight w:val="0"/>
      <w:marTop w:val="0"/>
      <w:marBottom w:val="0"/>
      <w:divBdr>
        <w:top w:val="none" w:sz="0" w:space="0" w:color="auto"/>
        <w:left w:val="none" w:sz="0" w:space="0" w:color="auto"/>
        <w:bottom w:val="none" w:sz="0" w:space="0" w:color="auto"/>
        <w:right w:val="none" w:sz="0" w:space="0" w:color="auto"/>
      </w:divBdr>
    </w:div>
    <w:div w:id="24408487">
      <w:bodyDiv w:val="1"/>
      <w:marLeft w:val="0"/>
      <w:marRight w:val="0"/>
      <w:marTop w:val="0"/>
      <w:marBottom w:val="0"/>
      <w:divBdr>
        <w:top w:val="none" w:sz="0" w:space="0" w:color="auto"/>
        <w:left w:val="none" w:sz="0" w:space="0" w:color="auto"/>
        <w:bottom w:val="none" w:sz="0" w:space="0" w:color="auto"/>
        <w:right w:val="none" w:sz="0" w:space="0" w:color="auto"/>
      </w:divBdr>
    </w:div>
    <w:div w:id="45495075">
      <w:bodyDiv w:val="1"/>
      <w:marLeft w:val="0"/>
      <w:marRight w:val="0"/>
      <w:marTop w:val="0"/>
      <w:marBottom w:val="0"/>
      <w:divBdr>
        <w:top w:val="none" w:sz="0" w:space="0" w:color="auto"/>
        <w:left w:val="none" w:sz="0" w:space="0" w:color="auto"/>
        <w:bottom w:val="none" w:sz="0" w:space="0" w:color="auto"/>
        <w:right w:val="none" w:sz="0" w:space="0" w:color="auto"/>
      </w:divBdr>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111293811">
      <w:bodyDiv w:val="1"/>
      <w:marLeft w:val="0"/>
      <w:marRight w:val="0"/>
      <w:marTop w:val="0"/>
      <w:marBottom w:val="0"/>
      <w:divBdr>
        <w:top w:val="none" w:sz="0" w:space="0" w:color="auto"/>
        <w:left w:val="none" w:sz="0" w:space="0" w:color="auto"/>
        <w:bottom w:val="none" w:sz="0" w:space="0" w:color="auto"/>
        <w:right w:val="none" w:sz="0" w:space="0" w:color="auto"/>
      </w:divBdr>
    </w:div>
    <w:div w:id="171455724">
      <w:bodyDiv w:val="1"/>
      <w:marLeft w:val="0"/>
      <w:marRight w:val="0"/>
      <w:marTop w:val="0"/>
      <w:marBottom w:val="0"/>
      <w:divBdr>
        <w:top w:val="none" w:sz="0" w:space="0" w:color="auto"/>
        <w:left w:val="none" w:sz="0" w:space="0" w:color="auto"/>
        <w:bottom w:val="none" w:sz="0" w:space="0" w:color="auto"/>
        <w:right w:val="none" w:sz="0" w:space="0" w:color="auto"/>
      </w:divBdr>
    </w:div>
    <w:div w:id="222565545">
      <w:bodyDiv w:val="1"/>
      <w:marLeft w:val="0"/>
      <w:marRight w:val="0"/>
      <w:marTop w:val="0"/>
      <w:marBottom w:val="0"/>
      <w:divBdr>
        <w:top w:val="none" w:sz="0" w:space="0" w:color="auto"/>
        <w:left w:val="none" w:sz="0" w:space="0" w:color="auto"/>
        <w:bottom w:val="none" w:sz="0" w:space="0" w:color="auto"/>
        <w:right w:val="none" w:sz="0" w:space="0" w:color="auto"/>
      </w:divBdr>
    </w:div>
    <w:div w:id="278075142">
      <w:bodyDiv w:val="1"/>
      <w:marLeft w:val="0"/>
      <w:marRight w:val="0"/>
      <w:marTop w:val="0"/>
      <w:marBottom w:val="0"/>
      <w:divBdr>
        <w:top w:val="none" w:sz="0" w:space="0" w:color="auto"/>
        <w:left w:val="none" w:sz="0" w:space="0" w:color="auto"/>
        <w:bottom w:val="none" w:sz="0" w:space="0" w:color="auto"/>
        <w:right w:val="none" w:sz="0" w:space="0" w:color="auto"/>
      </w:divBdr>
    </w:div>
    <w:div w:id="303781797">
      <w:bodyDiv w:val="1"/>
      <w:marLeft w:val="0"/>
      <w:marRight w:val="0"/>
      <w:marTop w:val="0"/>
      <w:marBottom w:val="0"/>
      <w:divBdr>
        <w:top w:val="none" w:sz="0" w:space="0" w:color="auto"/>
        <w:left w:val="none" w:sz="0" w:space="0" w:color="auto"/>
        <w:bottom w:val="none" w:sz="0" w:space="0" w:color="auto"/>
        <w:right w:val="none" w:sz="0" w:space="0" w:color="auto"/>
      </w:divBdr>
    </w:div>
    <w:div w:id="315688705">
      <w:bodyDiv w:val="1"/>
      <w:marLeft w:val="0"/>
      <w:marRight w:val="0"/>
      <w:marTop w:val="0"/>
      <w:marBottom w:val="0"/>
      <w:divBdr>
        <w:top w:val="none" w:sz="0" w:space="0" w:color="auto"/>
        <w:left w:val="none" w:sz="0" w:space="0" w:color="auto"/>
        <w:bottom w:val="none" w:sz="0" w:space="0" w:color="auto"/>
        <w:right w:val="none" w:sz="0" w:space="0" w:color="auto"/>
      </w:divBdr>
    </w:div>
    <w:div w:id="381177373">
      <w:bodyDiv w:val="1"/>
      <w:marLeft w:val="0"/>
      <w:marRight w:val="0"/>
      <w:marTop w:val="0"/>
      <w:marBottom w:val="0"/>
      <w:divBdr>
        <w:top w:val="none" w:sz="0" w:space="0" w:color="auto"/>
        <w:left w:val="none" w:sz="0" w:space="0" w:color="auto"/>
        <w:bottom w:val="none" w:sz="0" w:space="0" w:color="auto"/>
        <w:right w:val="none" w:sz="0" w:space="0" w:color="auto"/>
      </w:divBdr>
    </w:div>
    <w:div w:id="413742621">
      <w:bodyDiv w:val="1"/>
      <w:marLeft w:val="0"/>
      <w:marRight w:val="0"/>
      <w:marTop w:val="0"/>
      <w:marBottom w:val="0"/>
      <w:divBdr>
        <w:top w:val="none" w:sz="0" w:space="0" w:color="auto"/>
        <w:left w:val="none" w:sz="0" w:space="0" w:color="auto"/>
        <w:bottom w:val="none" w:sz="0" w:space="0" w:color="auto"/>
        <w:right w:val="none" w:sz="0" w:space="0" w:color="auto"/>
      </w:divBdr>
    </w:div>
    <w:div w:id="424307268">
      <w:bodyDiv w:val="1"/>
      <w:marLeft w:val="0"/>
      <w:marRight w:val="0"/>
      <w:marTop w:val="0"/>
      <w:marBottom w:val="0"/>
      <w:divBdr>
        <w:top w:val="none" w:sz="0" w:space="0" w:color="auto"/>
        <w:left w:val="none" w:sz="0" w:space="0" w:color="auto"/>
        <w:bottom w:val="none" w:sz="0" w:space="0" w:color="auto"/>
        <w:right w:val="none" w:sz="0" w:space="0" w:color="auto"/>
      </w:divBdr>
    </w:div>
    <w:div w:id="439103772">
      <w:bodyDiv w:val="1"/>
      <w:marLeft w:val="0"/>
      <w:marRight w:val="0"/>
      <w:marTop w:val="0"/>
      <w:marBottom w:val="0"/>
      <w:divBdr>
        <w:top w:val="none" w:sz="0" w:space="0" w:color="auto"/>
        <w:left w:val="none" w:sz="0" w:space="0" w:color="auto"/>
        <w:bottom w:val="none" w:sz="0" w:space="0" w:color="auto"/>
        <w:right w:val="none" w:sz="0" w:space="0" w:color="auto"/>
      </w:divBdr>
    </w:div>
    <w:div w:id="498737486">
      <w:bodyDiv w:val="1"/>
      <w:marLeft w:val="0"/>
      <w:marRight w:val="0"/>
      <w:marTop w:val="0"/>
      <w:marBottom w:val="0"/>
      <w:divBdr>
        <w:top w:val="none" w:sz="0" w:space="0" w:color="auto"/>
        <w:left w:val="none" w:sz="0" w:space="0" w:color="auto"/>
        <w:bottom w:val="none" w:sz="0" w:space="0" w:color="auto"/>
        <w:right w:val="none" w:sz="0" w:space="0" w:color="auto"/>
      </w:divBdr>
    </w:div>
    <w:div w:id="503933626">
      <w:bodyDiv w:val="1"/>
      <w:marLeft w:val="0"/>
      <w:marRight w:val="0"/>
      <w:marTop w:val="0"/>
      <w:marBottom w:val="0"/>
      <w:divBdr>
        <w:top w:val="none" w:sz="0" w:space="0" w:color="auto"/>
        <w:left w:val="none" w:sz="0" w:space="0" w:color="auto"/>
        <w:bottom w:val="none" w:sz="0" w:space="0" w:color="auto"/>
        <w:right w:val="none" w:sz="0" w:space="0" w:color="auto"/>
      </w:divBdr>
    </w:div>
    <w:div w:id="523986026">
      <w:bodyDiv w:val="1"/>
      <w:marLeft w:val="0"/>
      <w:marRight w:val="0"/>
      <w:marTop w:val="0"/>
      <w:marBottom w:val="0"/>
      <w:divBdr>
        <w:top w:val="none" w:sz="0" w:space="0" w:color="auto"/>
        <w:left w:val="none" w:sz="0" w:space="0" w:color="auto"/>
        <w:bottom w:val="none" w:sz="0" w:space="0" w:color="auto"/>
        <w:right w:val="none" w:sz="0" w:space="0" w:color="auto"/>
      </w:divBdr>
    </w:div>
    <w:div w:id="549538791">
      <w:bodyDiv w:val="1"/>
      <w:marLeft w:val="0"/>
      <w:marRight w:val="0"/>
      <w:marTop w:val="0"/>
      <w:marBottom w:val="0"/>
      <w:divBdr>
        <w:top w:val="none" w:sz="0" w:space="0" w:color="auto"/>
        <w:left w:val="none" w:sz="0" w:space="0" w:color="auto"/>
        <w:bottom w:val="none" w:sz="0" w:space="0" w:color="auto"/>
        <w:right w:val="none" w:sz="0" w:space="0" w:color="auto"/>
      </w:divBdr>
    </w:div>
    <w:div w:id="578632807">
      <w:bodyDiv w:val="1"/>
      <w:marLeft w:val="0"/>
      <w:marRight w:val="0"/>
      <w:marTop w:val="0"/>
      <w:marBottom w:val="0"/>
      <w:divBdr>
        <w:top w:val="none" w:sz="0" w:space="0" w:color="auto"/>
        <w:left w:val="none" w:sz="0" w:space="0" w:color="auto"/>
        <w:bottom w:val="none" w:sz="0" w:space="0" w:color="auto"/>
        <w:right w:val="none" w:sz="0" w:space="0" w:color="auto"/>
      </w:divBdr>
    </w:div>
    <w:div w:id="618339992">
      <w:bodyDiv w:val="1"/>
      <w:marLeft w:val="0"/>
      <w:marRight w:val="0"/>
      <w:marTop w:val="0"/>
      <w:marBottom w:val="0"/>
      <w:divBdr>
        <w:top w:val="none" w:sz="0" w:space="0" w:color="auto"/>
        <w:left w:val="none" w:sz="0" w:space="0" w:color="auto"/>
        <w:bottom w:val="none" w:sz="0" w:space="0" w:color="auto"/>
        <w:right w:val="none" w:sz="0" w:space="0" w:color="auto"/>
      </w:divBdr>
    </w:div>
    <w:div w:id="620769146">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10493186">
      <w:bodyDiv w:val="1"/>
      <w:marLeft w:val="0"/>
      <w:marRight w:val="0"/>
      <w:marTop w:val="0"/>
      <w:marBottom w:val="0"/>
      <w:divBdr>
        <w:top w:val="none" w:sz="0" w:space="0" w:color="auto"/>
        <w:left w:val="none" w:sz="0" w:space="0" w:color="auto"/>
        <w:bottom w:val="none" w:sz="0" w:space="0" w:color="auto"/>
        <w:right w:val="none" w:sz="0" w:space="0" w:color="auto"/>
      </w:divBdr>
    </w:div>
    <w:div w:id="731542584">
      <w:bodyDiv w:val="1"/>
      <w:marLeft w:val="0"/>
      <w:marRight w:val="0"/>
      <w:marTop w:val="0"/>
      <w:marBottom w:val="0"/>
      <w:divBdr>
        <w:top w:val="none" w:sz="0" w:space="0" w:color="auto"/>
        <w:left w:val="none" w:sz="0" w:space="0" w:color="auto"/>
        <w:bottom w:val="none" w:sz="0" w:space="0" w:color="auto"/>
        <w:right w:val="none" w:sz="0" w:space="0" w:color="auto"/>
      </w:divBdr>
    </w:div>
    <w:div w:id="745224521">
      <w:bodyDiv w:val="1"/>
      <w:marLeft w:val="0"/>
      <w:marRight w:val="0"/>
      <w:marTop w:val="0"/>
      <w:marBottom w:val="0"/>
      <w:divBdr>
        <w:top w:val="none" w:sz="0" w:space="0" w:color="auto"/>
        <w:left w:val="none" w:sz="0" w:space="0" w:color="auto"/>
        <w:bottom w:val="none" w:sz="0" w:space="0" w:color="auto"/>
        <w:right w:val="none" w:sz="0" w:space="0" w:color="auto"/>
      </w:divBdr>
    </w:div>
    <w:div w:id="753009705">
      <w:bodyDiv w:val="1"/>
      <w:marLeft w:val="0"/>
      <w:marRight w:val="0"/>
      <w:marTop w:val="0"/>
      <w:marBottom w:val="0"/>
      <w:divBdr>
        <w:top w:val="none" w:sz="0" w:space="0" w:color="auto"/>
        <w:left w:val="none" w:sz="0" w:space="0" w:color="auto"/>
        <w:bottom w:val="none" w:sz="0" w:space="0" w:color="auto"/>
        <w:right w:val="none" w:sz="0" w:space="0" w:color="auto"/>
      </w:divBdr>
    </w:div>
    <w:div w:id="761878681">
      <w:bodyDiv w:val="1"/>
      <w:marLeft w:val="0"/>
      <w:marRight w:val="0"/>
      <w:marTop w:val="0"/>
      <w:marBottom w:val="0"/>
      <w:divBdr>
        <w:top w:val="none" w:sz="0" w:space="0" w:color="auto"/>
        <w:left w:val="none" w:sz="0" w:space="0" w:color="auto"/>
        <w:bottom w:val="none" w:sz="0" w:space="0" w:color="auto"/>
        <w:right w:val="none" w:sz="0" w:space="0" w:color="auto"/>
      </w:divBdr>
    </w:div>
    <w:div w:id="794636759">
      <w:bodyDiv w:val="1"/>
      <w:marLeft w:val="0"/>
      <w:marRight w:val="0"/>
      <w:marTop w:val="0"/>
      <w:marBottom w:val="0"/>
      <w:divBdr>
        <w:top w:val="none" w:sz="0" w:space="0" w:color="auto"/>
        <w:left w:val="none" w:sz="0" w:space="0" w:color="auto"/>
        <w:bottom w:val="none" w:sz="0" w:space="0" w:color="auto"/>
        <w:right w:val="none" w:sz="0" w:space="0" w:color="auto"/>
      </w:divBdr>
    </w:div>
    <w:div w:id="819617061">
      <w:bodyDiv w:val="1"/>
      <w:marLeft w:val="0"/>
      <w:marRight w:val="0"/>
      <w:marTop w:val="0"/>
      <w:marBottom w:val="0"/>
      <w:divBdr>
        <w:top w:val="none" w:sz="0" w:space="0" w:color="auto"/>
        <w:left w:val="none" w:sz="0" w:space="0" w:color="auto"/>
        <w:bottom w:val="none" w:sz="0" w:space="0" w:color="auto"/>
        <w:right w:val="none" w:sz="0" w:space="0" w:color="auto"/>
      </w:divBdr>
    </w:div>
    <w:div w:id="839004490">
      <w:bodyDiv w:val="1"/>
      <w:marLeft w:val="0"/>
      <w:marRight w:val="0"/>
      <w:marTop w:val="0"/>
      <w:marBottom w:val="0"/>
      <w:divBdr>
        <w:top w:val="none" w:sz="0" w:space="0" w:color="auto"/>
        <w:left w:val="none" w:sz="0" w:space="0" w:color="auto"/>
        <w:bottom w:val="none" w:sz="0" w:space="0" w:color="auto"/>
        <w:right w:val="none" w:sz="0" w:space="0" w:color="auto"/>
      </w:divBdr>
    </w:div>
    <w:div w:id="873881406">
      <w:bodyDiv w:val="1"/>
      <w:marLeft w:val="0"/>
      <w:marRight w:val="0"/>
      <w:marTop w:val="0"/>
      <w:marBottom w:val="0"/>
      <w:divBdr>
        <w:top w:val="none" w:sz="0" w:space="0" w:color="auto"/>
        <w:left w:val="none" w:sz="0" w:space="0" w:color="auto"/>
        <w:bottom w:val="none" w:sz="0" w:space="0" w:color="auto"/>
        <w:right w:val="none" w:sz="0" w:space="0" w:color="auto"/>
      </w:divBdr>
    </w:div>
    <w:div w:id="934704171">
      <w:bodyDiv w:val="1"/>
      <w:marLeft w:val="0"/>
      <w:marRight w:val="0"/>
      <w:marTop w:val="0"/>
      <w:marBottom w:val="0"/>
      <w:divBdr>
        <w:top w:val="none" w:sz="0" w:space="0" w:color="auto"/>
        <w:left w:val="none" w:sz="0" w:space="0" w:color="auto"/>
        <w:bottom w:val="none" w:sz="0" w:space="0" w:color="auto"/>
        <w:right w:val="none" w:sz="0" w:space="0" w:color="auto"/>
      </w:divBdr>
    </w:div>
    <w:div w:id="942613663">
      <w:bodyDiv w:val="1"/>
      <w:marLeft w:val="0"/>
      <w:marRight w:val="0"/>
      <w:marTop w:val="0"/>
      <w:marBottom w:val="0"/>
      <w:divBdr>
        <w:top w:val="none" w:sz="0" w:space="0" w:color="auto"/>
        <w:left w:val="none" w:sz="0" w:space="0" w:color="auto"/>
        <w:bottom w:val="none" w:sz="0" w:space="0" w:color="auto"/>
        <w:right w:val="none" w:sz="0" w:space="0" w:color="auto"/>
      </w:divBdr>
    </w:div>
    <w:div w:id="960652201">
      <w:bodyDiv w:val="1"/>
      <w:marLeft w:val="0"/>
      <w:marRight w:val="0"/>
      <w:marTop w:val="0"/>
      <w:marBottom w:val="0"/>
      <w:divBdr>
        <w:top w:val="none" w:sz="0" w:space="0" w:color="auto"/>
        <w:left w:val="none" w:sz="0" w:space="0" w:color="auto"/>
        <w:bottom w:val="none" w:sz="0" w:space="0" w:color="auto"/>
        <w:right w:val="none" w:sz="0" w:space="0" w:color="auto"/>
      </w:divBdr>
    </w:div>
    <w:div w:id="977151174">
      <w:bodyDiv w:val="1"/>
      <w:marLeft w:val="0"/>
      <w:marRight w:val="0"/>
      <w:marTop w:val="0"/>
      <w:marBottom w:val="0"/>
      <w:divBdr>
        <w:top w:val="none" w:sz="0" w:space="0" w:color="auto"/>
        <w:left w:val="none" w:sz="0" w:space="0" w:color="auto"/>
        <w:bottom w:val="none" w:sz="0" w:space="0" w:color="auto"/>
        <w:right w:val="none" w:sz="0" w:space="0" w:color="auto"/>
      </w:divBdr>
    </w:div>
    <w:div w:id="983847690">
      <w:bodyDiv w:val="1"/>
      <w:marLeft w:val="0"/>
      <w:marRight w:val="0"/>
      <w:marTop w:val="0"/>
      <w:marBottom w:val="0"/>
      <w:divBdr>
        <w:top w:val="none" w:sz="0" w:space="0" w:color="auto"/>
        <w:left w:val="none" w:sz="0" w:space="0" w:color="auto"/>
        <w:bottom w:val="none" w:sz="0" w:space="0" w:color="auto"/>
        <w:right w:val="none" w:sz="0" w:space="0" w:color="auto"/>
      </w:divBdr>
    </w:div>
    <w:div w:id="1015880305">
      <w:bodyDiv w:val="1"/>
      <w:marLeft w:val="0"/>
      <w:marRight w:val="0"/>
      <w:marTop w:val="0"/>
      <w:marBottom w:val="0"/>
      <w:divBdr>
        <w:top w:val="none" w:sz="0" w:space="0" w:color="auto"/>
        <w:left w:val="none" w:sz="0" w:space="0" w:color="auto"/>
        <w:bottom w:val="none" w:sz="0" w:space="0" w:color="auto"/>
        <w:right w:val="none" w:sz="0" w:space="0" w:color="auto"/>
      </w:divBdr>
    </w:div>
    <w:div w:id="1016347022">
      <w:bodyDiv w:val="1"/>
      <w:marLeft w:val="0"/>
      <w:marRight w:val="0"/>
      <w:marTop w:val="0"/>
      <w:marBottom w:val="0"/>
      <w:divBdr>
        <w:top w:val="none" w:sz="0" w:space="0" w:color="auto"/>
        <w:left w:val="none" w:sz="0" w:space="0" w:color="auto"/>
        <w:bottom w:val="none" w:sz="0" w:space="0" w:color="auto"/>
        <w:right w:val="none" w:sz="0" w:space="0" w:color="auto"/>
      </w:divBdr>
    </w:div>
    <w:div w:id="1026326110">
      <w:bodyDiv w:val="1"/>
      <w:marLeft w:val="0"/>
      <w:marRight w:val="0"/>
      <w:marTop w:val="0"/>
      <w:marBottom w:val="0"/>
      <w:divBdr>
        <w:top w:val="none" w:sz="0" w:space="0" w:color="auto"/>
        <w:left w:val="none" w:sz="0" w:space="0" w:color="auto"/>
        <w:bottom w:val="none" w:sz="0" w:space="0" w:color="auto"/>
        <w:right w:val="none" w:sz="0" w:space="0" w:color="auto"/>
      </w:divBdr>
    </w:div>
    <w:div w:id="1041327411">
      <w:bodyDiv w:val="1"/>
      <w:marLeft w:val="0"/>
      <w:marRight w:val="0"/>
      <w:marTop w:val="0"/>
      <w:marBottom w:val="0"/>
      <w:divBdr>
        <w:top w:val="none" w:sz="0" w:space="0" w:color="auto"/>
        <w:left w:val="none" w:sz="0" w:space="0" w:color="auto"/>
        <w:bottom w:val="none" w:sz="0" w:space="0" w:color="auto"/>
        <w:right w:val="none" w:sz="0" w:space="0" w:color="auto"/>
      </w:divBdr>
    </w:div>
    <w:div w:id="1053188074">
      <w:bodyDiv w:val="1"/>
      <w:marLeft w:val="0"/>
      <w:marRight w:val="0"/>
      <w:marTop w:val="0"/>
      <w:marBottom w:val="0"/>
      <w:divBdr>
        <w:top w:val="none" w:sz="0" w:space="0" w:color="auto"/>
        <w:left w:val="none" w:sz="0" w:space="0" w:color="auto"/>
        <w:bottom w:val="none" w:sz="0" w:space="0" w:color="auto"/>
        <w:right w:val="none" w:sz="0" w:space="0" w:color="auto"/>
      </w:divBdr>
    </w:div>
    <w:div w:id="1060057260">
      <w:bodyDiv w:val="1"/>
      <w:marLeft w:val="0"/>
      <w:marRight w:val="0"/>
      <w:marTop w:val="0"/>
      <w:marBottom w:val="0"/>
      <w:divBdr>
        <w:top w:val="none" w:sz="0" w:space="0" w:color="auto"/>
        <w:left w:val="none" w:sz="0" w:space="0" w:color="auto"/>
        <w:bottom w:val="none" w:sz="0" w:space="0" w:color="auto"/>
        <w:right w:val="none" w:sz="0" w:space="0" w:color="auto"/>
      </w:divBdr>
    </w:div>
    <w:div w:id="1094940337">
      <w:bodyDiv w:val="1"/>
      <w:marLeft w:val="0"/>
      <w:marRight w:val="0"/>
      <w:marTop w:val="0"/>
      <w:marBottom w:val="0"/>
      <w:divBdr>
        <w:top w:val="none" w:sz="0" w:space="0" w:color="auto"/>
        <w:left w:val="none" w:sz="0" w:space="0" w:color="auto"/>
        <w:bottom w:val="none" w:sz="0" w:space="0" w:color="auto"/>
        <w:right w:val="none" w:sz="0" w:space="0" w:color="auto"/>
      </w:divBdr>
    </w:div>
    <w:div w:id="1131365421">
      <w:bodyDiv w:val="1"/>
      <w:marLeft w:val="0"/>
      <w:marRight w:val="0"/>
      <w:marTop w:val="0"/>
      <w:marBottom w:val="0"/>
      <w:divBdr>
        <w:top w:val="none" w:sz="0" w:space="0" w:color="auto"/>
        <w:left w:val="none" w:sz="0" w:space="0" w:color="auto"/>
        <w:bottom w:val="none" w:sz="0" w:space="0" w:color="auto"/>
        <w:right w:val="none" w:sz="0" w:space="0" w:color="auto"/>
      </w:divBdr>
    </w:div>
    <w:div w:id="1134907271">
      <w:bodyDiv w:val="1"/>
      <w:marLeft w:val="0"/>
      <w:marRight w:val="0"/>
      <w:marTop w:val="0"/>
      <w:marBottom w:val="0"/>
      <w:divBdr>
        <w:top w:val="none" w:sz="0" w:space="0" w:color="auto"/>
        <w:left w:val="none" w:sz="0" w:space="0" w:color="auto"/>
        <w:bottom w:val="none" w:sz="0" w:space="0" w:color="auto"/>
        <w:right w:val="none" w:sz="0" w:space="0" w:color="auto"/>
      </w:divBdr>
    </w:div>
    <w:div w:id="1160734748">
      <w:bodyDiv w:val="1"/>
      <w:marLeft w:val="0"/>
      <w:marRight w:val="0"/>
      <w:marTop w:val="0"/>
      <w:marBottom w:val="0"/>
      <w:divBdr>
        <w:top w:val="none" w:sz="0" w:space="0" w:color="auto"/>
        <w:left w:val="none" w:sz="0" w:space="0" w:color="auto"/>
        <w:bottom w:val="none" w:sz="0" w:space="0" w:color="auto"/>
        <w:right w:val="none" w:sz="0" w:space="0" w:color="auto"/>
      </w:divBdr>
    </w:div>
    <w:div w:id="1166821802">
      <w:bodyDiv w:val="1"/>
      <w:marLeft w:val="0"/>
      <w:marRight w:val="0"/>
      <w:marTop w:val="0"/>
      <w:marBottom w:val="0"/>
      <w:divBdr>
        <w:top w:val="none" w:sz="0" w:space="0" w:color="auto"/>
        <w:left w:val="none" w:sz="0" w:space="0" w:color="auto"/>
        <w:bottom w:val="none" w:sz="0" w:space="0" w:color="auto"/>
        <w:right w:val="none" w:sz="0" w:space="0" w:color="auto"/>
      </w:divBdr>
    </w:div>
    <w:div w:id="1197347550">
      <w:bodyDiv w:val="1"/>
      <w:marLeft w:val="0"/>
      <w:marRight w:val="0"/>
      <w:marTop w:val="0"/>
      <w:marBottom w:val="0"/>
      <w:divBdr>
        <w:top w:val="none" w:sz="0" w:space="0" w:color="auto"/>
        <w:left w:val="none" w:sz="0" w:space="0" w:color="auto"/>
        <w:bottom w:val="none" w:sz="0" w:space="0" w:color="auto"/>
        <w:right w:val="none" w:sz="0" w:space="0" w:color="auto"/>
      </w:divBdr>
    </w:div>
    <w:div w:id="1275140131">
      <w:bodyDiv w:val="1"/>
      <w:marLeft w:val="0"/>
      <w:marRight w:val="0"/>
      <w:marTop w:val="0"/>
      <w:marBottom w:val="0"/>
      <w:divBdr>
        <w:top w:val="none" w:sz="0" w:space="0" w:color="auto"/>
        <w:left w:val="none" w:sz="0" w:space="0" w:color="auto"/>
        <w:bottom w:val="none" w:sz="0" w:space="0" w:color="auto"/>
        <w:right w:val="none" w:sz="0" w:space="0" w:color="auto"/>
      </w:divBdr>
    </w:div>
    <w:div w:id="1297563185">
      <w:bodyDiv w:val="1"/>
      <w:marLeft w:val="0"/>
      <w:marRight w:val="0"/>
      <w:marTop w:val="0"/>
      <w:marBottom w:val="0"/>
      <w:divBdr>
        <w:top w:val="none" w:sz="0" w:space="0" w:color="auto"/>
        <w:left w:val="none" w:sz="0" w:space="0" w:color="auto"/>
        <w:bottom w:val="none" w:sz="0" w:space="0" w:color="auto"/>
        <w:right w:val="none" w:sz="0" w:space="0" w:color="auto"/>
      </w:divBdr>
    </w:div>
    <w:div w:id="1306081525">
      <w:bodyDiv w:val="1"/>
      <w:marLeft w:val="0"/>
      <w:marRight w:val="0"/>
      <w:marTop w:val="0"/>
      <w:marBottom w:val="0"/>
      <w:divBdr>
        <w:top w:val="none" w:sz="0" w:space="0" w:color="auto"/>
        <w:left w:val="none" w:sz="0" w:space="0" w:color="auto"/>
        <w:bottom w:val="none" w:sz="0" w:space="0" w:color="auto"/>
        <w:right w:val="none" w:sz="0" w:space="0" w:color="auto"/>
      </w:divBdr>
    </w:div>
    <w:div w:id="1322276079">
      <w:bodyDiv w:val="1"/>
      <w:marLeft w:val="0"/>
      <w:marRight w:val="0"/>
      <w:marTop w:val="0"/>
      <w:marBottom w:val="0"/>
      <w:divBdr>
        <w:top w:val="none" w:sz="0" w:space="0" w:color="auto"/>
        <w:left w:val="none" w:sz="0" w:space="0" w:color="auto"/>
        <w:bottom w:val="none" w:sz="0" w:space="0" w:color="auto"/>
        <w:right w:val="none" w:sz="0" w:space="0" w:color="auto"/>
      </w:divBdr>
    </w:div>
    <w:div w:id="1356998732">
      <w:bodyDiv w:val="1"/>
      <w:marLeft w:val="0"/>
      <w:marRight w:val="0"/>
      <w:marTop w:val="0"/>
      <w:marBottom w:val="0"/>
      <w:divBdr>
        <w:top w:val="none" w:sz="0" w:space="0" w:color="auto"/>
        <w:left w:val="none" w:sz="0" w:space="0" w:color="auto"/>
        <w:bottom w:val="none" w:sz="0" w:space="0" w:color="auto"/>
        <w:right w:val="none" w:sz="0" w:space="0" w:color="auto"/>
      </w:divBdr>
    </w:div>
    <w:div w:id="1400244870">
      <w:bodyDiv w:val="1"/>
      <w:marLeft w:val="0"/>
      <w:marRight w:val="0"/>
      <w:marTop w:val="0"/>
      <w:marBottom w:val="0"/>
      <w:divBdr>
        <w:top w:val="none" w:sz="0" w:space="0" w:color="auto"/>
        <w:left w:val="none" w:sz="0" w:space="0" w:color="auto"/>
        <w:bottom w:val="none" w:sz="0" w:space="0" w:color="auto"/>
        <w:right w:val="none" w:sz="0" w:space="0" w:color="auto"/>
      </w:divBdr>
    </w:div>
    <w:div w:id="1414863752">
      <w:bodyDiv w:val="1"/>
      <w:marLeft w:val="0"/>
      <w:marRight w:val="0"/>
      <w:marTop w:val="0"/>
      <w:marBottom w:val="0"/>
      <w:divBdr>
        <w:top w:val="none" w:sz="0" w:space="0" w:color="auto"/>
        <w:left w:val="none" w:sz="0" w:space="0" w:color="auto"/>
        <w:bottom w:val="none" w:sz="0" w:space="0" w:color="auto"/>
        <w:right w:val="none" w:sz="0" w:space="0" w:color="auto"/>
      </w:divBdr>
    </w:div>
    <w:div w:id="1469975469">
      <w:bodyDiv w:val="1"/>
      <w:marLeft w:val="0"/>
      <w:marRight w:val="0"/>
      <w:marTop w:val="0"/>
      <w:marBottom w:val="0"/>
      <w:divBdr>
        <w:top w:val="none" w:sz="0" w:space="0" w:color="auto"/>
        <w:left w:val="none" w:sz="0" w:space="0" w:color="auto"/>
        <w:bottom w:val="none" w:sz="0" w:space="0" w:color="auto"/>
        <w:right w:val="none" w:sz="0" w:space="0" w:color="auto"/>
      </w:divBdr>
    </w:div>
    <w:div w:id="1538666945">
      <w:bodyDiv w:val="1"/>
      <w:marLeft w:val="0"/>
      <w:marRight w:val="0"/>
      <w:marTop w:val="0"/>
      <w:marBottom w:val="0"/>
      <w:divBdr>
        <w:top w:val="none" w:sz="0" w:space="0" w:color="auto"/>
        <w:left w:val="none" w:sz="0" w:space="0" w:color="auto"/>
        <w:bottom w:val="none" w:sz="0" w:space="0" w:color="auto"/>
        <w:right w:val="none" w:sz="0" w:space="0" w:color="auto"/>
      </w:divBdr>
    </w:div>
    <w:div w:id="1554929805">
      <w:bodyDiv w:val="1"/>
      <w:marLeft w:val="0"/>
      <w:marRight w:val="0"/>
      <w:marTop w:val="0"/>
      <w:marBottom w:val="0"/>
      <w:divBdr>
        <w:top w:val="none" w:sz="0" w:space="0" w:color="auto"/>
        <w:left w:val="none" w:sz="0" w:space="0" w:color="auto"/>
        <w:bottom w:val="none" w:sz="0" w:space="0" w:color="auto"/>
        <w:right w:val="none" w:sz="0" w:space="0" w:color="auto"/>
      </w:divBdr>
      <w:divsChild>
        <w:div w:id="16385329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0432689">
      <w:bodyDiv w:val="1"/>
      <w:marLeft w:val="0"/>
      <w:marRight w:val="0"/>
      <w:marTop w:val="0"/>
      <w:marBottom w:val="0"/>
      <w:divBdr>
        <w:top w:val="none" w:sz="0" w:space="0" w:color="auto"/>
        <w:left w:val="none" w:sz="0" w:space="0" w:color="auto"/>
        <w:bottom w:val="none" w:sz="0" w:space="0" w:color="auto"/>
        <w:right w:val="none" w:sz="0" w:space="0" w:color="auto"/>
      </w:divBdr>
    </w:div>
    <w:div w:id="1600485074">
      <w:bodyDiv w:val="1"/>
      <w:marLeft w:val="0"/>
      <w:marRight w:val="0"/>
      <w:marTop w:val="0"/>
      <w:marBottom w:val="0"/>
      <w:divBdr>
        <w:top w:val="none" w:sz="0" w:space="0" w:color="auto"/>
        <w:left w:val="none" w:sz="0" w:space="0" w:color="auto"/>
        <w:bottom w:val="none" w:sz="0" w:space="0" w:color="auto"/>
        <w:right w:val="none" w:sz="0" w:space="0" w:color="auto"/>
      </w:divBdr>
    </w:div>
    <w:div w:id="1635213249">
      <w:bodyDiv w:val="1"/>
      <w:marLeft w:val="0"/>
      <w:marRight w:val="0"/>
      <w:marTop w:val="0"/>
      <w:marBottom w:val="0"/>
      <w:divBdr>
        <w:top w:val="none" w:sz="0" w:space="0" w:color="auto"/>
        <w:left w:val="none" w:sz="0" w:space="0" w:color="auto"/>
        <w:bottom w:val="none" w:sz="0" w:space="0" w:color="auto"/>
        <w:right w:val="none" w:sz="0" w:space="0" w:color="auto"/>
      </w:divBdr>
    </w:div>
    <w:div w:id="1694573236">
      <w:bodyDiv w:val="1"/>
      <w:marLeft w:val="0"/>
      <w:marRight w:val="0"/>
      <w:marTop w:val="0"/>
      <w:marBottom w:val="0"/>
      <w:divBdr>
        <w:top w:val="none" w:sz="0" w:space="0" w:color="auto"/>
        <w:left w:val="none" w:sz="0" w:space="0" w:color="auto"/>
        <w:bottom w:val="none" w:sz="0" w:space="0" w:color="auto"/>
        <w:right w:val="none" w:sz="0" w:space="0" w:color="auto"/>
      </w:divBdr>
    </w:div>
    <w:div w:id="1698651203">
      <w:bodyDiv w:val="1"/>
      <w:marLeft w:val="0"/>
      <w:marRight w:val="0"/>
      <w:marTop w:val="0"/>
      <w:marBottom w:val="0"/>
      <w:divBdr>
        <w:top w:val="none" w:sz="0" w:space="0" w:color="auto"/>
        <w:left w:val="none" w:sz="0" w:space="0" w:color="auto"/>
        <w:bottom w:val="none" w:sz="0" w:space="0" w:color="auto"/>
        <w:right w:val="none" w:sz="0" w:space="0" w:color="auto"/>
      </w:divBdr>
    </w:div>
    <w:div w:id="1739396700">
      <w:bodyDiv w:val="1"/>
      <w:marLeft w:val="0"/>
      <w:marRight w:val="0"/>
      <w:marTop w:val="0"/>
      <w:marBottom w:val="0"/>
      <w:divBdr>
        <w:top w:val="none" w:sz="0" w:space="0" w:color="auto"/>
        <w:left w:val="none" w:sz="0" w:space="0" w:color="auto"/>
        <w:bottom w:val="none" w:sz="0" w:space="0" w:color="auto"/>
        <w:right w:val="none" w:sz="0" w:space="0" w:color="auto"/>
      </w:divBdr>
    </w:div>
    <w:div w:id="1755125060">
      <w:bodyDiv w:val="1"/>
      <w:marLeft w:val="0"/>
      <w:marRight w:val="0"/>
      <w:marTop w:val="0"/>
      <w:marBottom w:val="0"/>
      <w:divBdr>
        <w:top w:val="none" w:sz="0" w:space="0" w:color="auto"/>
        <w:left w:val="none" w:sz="0" w:space="0" w:color="auto"/>
        <w:bottom w:val="none" w:sz="0" w:space="0" w:color="auto"/>
        <w:right w:val="none" w:sz="0" w:space="0" w:color="auto"/>
      </w:divBdr>
    </w:div>
    <w:div w:id="1757049408">
      <w:bodyDiv w:val="1"/>
      <w:marLeft w:val="0"/>
      <w:marRight w:val="0"/>
      <w:marTop w:val="0"/>
      <w:marBottom w:val="0"/>
      <w:divBdr>
        <w:top w:val="none" w:sz="0" w:space="0" w:color="auto"/>
        <w:left w:val="none" w:sz="0" w:space="0" w:color="auto"/>
        <w:bottom w:val="none" w:sz="0" w:space="0" w:color="auto"/>
        <w:right w:val="none" w:sz="0" w:space="0" w:color="auto"/>
      </w:divBdr>
    </w:div>
    <w:div w:id="1779521298">
      <w:bodyDiv w:val="1"/>
      <w:marLeft w:val="0"/>
      <w:marRight w:val="0"/>
      <w:marTop w:val="0"/>
      <w:marBottom w:val="0"/>
      <w:divBdr>
        <w:top w:val="none" w:sz="0" w:space="0" w:color="auto"/>
        <w:left w:val="none" w:sz="0" w:space="0" w:color="auto"/>
        <w:bottom w:val="none" w:sz="0" w:space="0" w:color="auto"/>
        <w:right w:val="none" w:sz="0" w:space="0" w:color="auto"/>
      </w:divBdr>
    </w:div>
    <w:div w:id="1782604516">
      <w:bodyDiv w:val="1"/>
      <w:marLeft w:val="0"/>
      <w:marRight w:val="0"/>
      <w:marTop w:val="0"/>
      <w:marBottom w:val="0"/>
      <w:divBdr>
        <w:top w:val="none" w:sz="0" w:space="0" w:color="auto"/>
        <w:left w:val="none" w:sz="0" w:space="0" w:color="auto"/>
        <w:bottom w:val="none" w:sz="0" w:space="0" w:color="auto"/>
        <w:right w:val="none" w:sz="0" w:space="0" w:color="auto"/>
      </w:divBdr>
    </w:div>
    <w:div w:id="1825858177">
      <w:bodyDiv w:val="1"/>
      <w:marLeft w:val="0"/>
      <w:marRight w:val="0"/>
      <w:marTop w:val="0"/>
      <w:marBottom w:val="0"/>
      <w:divBdr>
        <w:top w:val="none" w:sz="0" w:space="0" w:color="auto"/>
        <w:left w:val="none" w:sz="0" w:space="0" w:color="auto"/>
        <w:bottom w:val="none" w:sz="0" w:space="0" w:color="auto"/>
        <w:right w:val="none" w:sz="0" w:space="0" w:color="auto"/>
      </w:divBdr>
    </w:div>
    <w:div w:id="1889681857">
      <w:bodyDiv w:val="1"/>
      <w:marLeft w:val="0"/>
      <w:marRight w:val="0"/>
      <w:marTop w:val="0"/>
      <w:marBottom w:val="0"/>
      <w:divBdr>
        <w:top w:val="none" w:sz="0" w:space="0" w:color="auto"/>
        <w:left w:val="none" w:sz="0" w:space="0" w:color="auto"/>
        <w:bottom w:val="none" w:sz="0" w:space="0" w:color="auto"/>
        <w:right w:val="none" w:sz="0" w:space="0" w:color="auto"/>
      </w:divBdr>
    </w:div>
    <w:div w:id="1933053519">
      <w:bodyDiv w:val="1"/>
      <w:marLeft w:val="0"/>
      <w:marRight w:val="0"/>
      <w:marTop w:val="0"/>
      <w:marBottom w:val="0"/>
      <w:divBdr>
        <w:top w:val="none" w:sz="0" w:space="0" w:color="auto"/>
        <w:left w:val="none" w:sz="0" w:space="0" w:color="auto"/>
        <w:bottom w:val="none" w:sz="0" w:space="0" w:color="auto"/>
        <w:right w:val="none" w:sz="0" w:space="0" w:color="auto"/>
      </w:divBdr>
    </w:div>
    <w:div w:id="1979726366">
      <w:bodyDiv w:val="1"/>
      <w:marLeft w:val="0"/>
      <w:marRight w:val="0"/>
      <w:marTop w:val="0"/>
      <w:marBottom w:val="0"/>
      <w:divBdr>
        <w:top w:val="none" w:sz="0" w:space="0" w:color="auto"/>
        <w:left w:val="none" w:sz="0" w:space="0" w:color="auto"/>
        <w:bottom w:val="none" w:sz="0" w:space="0" w:color="auto"/>
        <w:right w:val="none" w:sz="0" w:space="0" w:color="auto"/>
      </w:divBdr>
    </w:div>
    <w:div w:id="1998605926">
      <w:bodyDiv w:val="1"/>
      <w:marLeft w:val="0"/>
      <w:marRight w:val="0"/>
      <w:marTop w:val="0"/>
      <w:marBottom w:val="0"/>
      <w:divBdr>
        <w:top w:val="none" w:sz="0" w:space="0" w:color="auto"/>
        <w:left w:val="none" w:sz="0" w:space="0" w:color="auto"/>
        <w:bottom w:val="none" w:sz="0" w:space="0" w:color="auto"/>
        <w:right w:val="none" w:sz="0" w:space="0" w:color="auto"/>
      </w:divBdr>
    </w:div>
    <w:div w:id="2006206127">
      <w:bodyDiv w:val="1"/>
      <w:marLeft w:val="0"/>
      <w:marRight w:val="0"/>
      <w:marTop w:val="0"/>
      <w:marBottom w:val="0"/>
      <w:divBdr>
        <w:top w:val="none" w:sz="0" w:space="0" w:color="auto"/>
        <w:left w:val="none" w:sz="0" w:space="0" w:color="auto"/>
        <w:bottom w:val="none" w:sz="0" w:space="0" w:color="auto"/>
        <w:right w:val="none" w:sz="0" w:space="0" w:color="auto"/>
      </w:divBdr>
    </w:div>
    <w:div w:id="2009214733">
      <w:bodyDiv w:val="1"/>
      <w:marLeft w:val="0"/>
      <w:marRight w:val="0"/>
      <w:marTop w:val="0"/>
      <w:marBottom w:val="0"/>
      <w:divBdr>
        <w:top w:val="none" w:sz="0" w:space="0" w:color="auto"/>
        <w:left w:val="none" w:sz="0" w:space="0" w:color="auto"/>
        <w:bottom w:val="none" w:sz="0" w:space="0" w:color="auto"/>
        <w:right w:val="none" w:sz="0" w:space="0" w:color="auto"/>
      </w:divBdr>
    </w:div>
    <w:div w:id="2014213968">
      <w:bodyDiv w:val="1"/>
      <w:marLeft w:val="0"/>
      <w:marRight w:val="0"/>
      <w:marTop w:val="0"/>
      <w:marBottom w:val="0"/>
      <w:divBdr>
        <w:top w:val="none" w:sz="0" w:space="0" w:color="auto"/>
        <w:left w:val="none" w:sz="0" w:space="0" w:color="auto"/>
        <w:bottom w:val="none" w:sz="0" w:space="0" w:color="auto"/>
        <w:right w:val="none" w:sz="0" w:space="0" w:color="auto"/>
      </w:divBdr>
    </w:div>
    <w:div w:id="2018775129">
      <w:bodyDiv w:val="1"/>
      <w:marLeft w:val="0"/>
      <w:marRight w:val="0"/>
      <w:marTop w:val="0"/>
      <w:marBottom w:val="0"/>
      <w:divBdr>
        <w:top w:val="none" w:sz="0" w:space="0" w:color="auto"/>
        <w:left w:val="none" w:sz="0" w:space="0" w:color="auto"/>
        <w:bottom w:val="none" w:sz="0" w:space="0" w:color="auto"/>
        <w:right w:val="none" w:sz="0" w:space="0" w:color="auto"/>
      </w:divBdr>
    </w:div>
    <w:div w:id="2053457769">
      <w:bodyDiv w:val="1"/>
      <w:marLeft w:val="0"/>
      <w:marRight w:val="0"/>
      <w:marTop w:val="0"/>
      <w:marBottom w:val="0"/>
      <w:divBdr>
        <w:top w:val="none" w:sz="0" w:space="0" w:color="auto"/>
        <w:left w:val="none" w:sz="0" w:space="0" w:color="auto"/>
        <w:bottom w:val="none" w:sz="0" w:space="0" w:color="auto"/>
        <w:right w:val="none" w:sz="0" w:space="0" w:color="auto"/>
      </w:divBdr>
    </w:div>
    <w:div w:id="2080202320">
      <w:bodyDiv w:val="1"/>
      <w:marLeft w:val="0"/>
      <w:marRight w:val="0"/>
      <w:marTop w:val="0"/>
      <w:marBottom w:val="0"/>
      <w:divBdr>
        <w:top w:val="none" w:sz="0" w:space="0" w:color="auto"/>
        <w:left w:val="none" w:sz="0" w:space="0" w:color="auto"/>
        <w:bottom w:val="none" w:sz="0" w:space="0" w:color="auto"/>
        <w:right w:val="none" w:sz="0" w:space="0" w:color="auto"/>
      </w:divBdr>
    </w:div>
    <w:div w:id="21465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minagriculturaco-my.sharepoint.com/personal/jhonnattan_rodriguez_minagricultura_gov_co/Documents/2026_func/PQRDS%20CONTINGENCIA%202026.xlsx?d=wd38a80220d634613aecdf2aeed790535&amp;csf=1&amp;web=1&amp;e=mH5iyb" TargetMode="External"/><Relationship Id="rId18" Type="http://schemas.openxmlformats.org/officeDocument/2006/relationships/hyperlink" Target="https://minagriculturaco-my.sharepoint.com/:x:/r/personal/jhonnattan_rodriguez_minagricultura_gov_co/_layouts/15/Doc.aspx?sourcedoc=%7BD38A8022-0D63-4613-AECD-F2AEED790535%7D&amp;file=PQRDS%20CONTINGENCIA%202026.xlsx&amp;fromShare=true&amp;action=default&amp;mobileredirect=true"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yperlink" Target="https://minagriculturaco-my.sharepoint.com/:x:/r/personal/jhonnattan_rodriguez_minagricultura_gov_co/_layouts/15/Doc.aspx?sourcedoc=%7BD38A8022-0D63-4613-AECD-F2AEED790535%7D&amp;file=PQRDS%20CONTINGENCIA%202026.xlsx&amp;fromShare=true&amp;action=default&amp;mobileredirect=true"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F28450C21430684C91032FF5BE2885F5" ma:contentTypeVersion="19" ma:contentTypeDescription="Crear nuevo documento." ma:contentTypeScope="" ma:versionID="bda4a7d505445bf6d142566ed124bd34">
  <xsd:schema xmlns:xsd="http://www.w3.org/2001/XMLSchema" xmlns:xs="http://www.w3.org/2001/XMLSchema" xmlns:p="http://schemas.microsoft.com/office/2006/metadata/properties" xmlns:ns2="182591e6-0f8c-49be-857d-34c2e2210ef9" xmlns:ns3="680276ee-2552-4165-9adf-a17735bd9bc3" targetNamespace="http://schemas.microsoft.com/office/2006/metadata/properties" ma:root="true" ma:fieldsID="117aaf42255997c4efb3ec178471045c" ns2:_="" ns3:_="">
    <xsd:import namespace="182591e6-0f8c-49be-857d-34c2e2210ef9"/>
    <xsd:import namespace="680276ee-2552-4165-9adf-a17735bd9bc3"/>
    <xsd:element name="properties">
      <xsd:complexType>
        <xsd:sequence>
          <xsd:element name="documentManagement">
            <xsd:complexType>
              <xsd:all>
                <xsd:element ref="ns2:_dlc_DocId" minOccurs="0"/>
                <xsd:element ref="ns2:_dlc_DocIdUrl" minOccurs="0"/>
                <xsd:element ref="ns2:_dlc_DocIdPersistId" minOccurs="0"/>
                <xsd:element ref="ns3:Codigo"/>
                <xsd:element ref="ns3:Fecha"/>
                <xsd:element ref="ns3:Version0"/>
                <xsd:element ref="ns3:Macroproceso" minOccurs="0"/>
                <xsd:element ref="ns3:Proceso" minOccurs="0"/>
                <xsd:element ref="ns3:TipoDocumento"/>
                <xsd:element ref="ns3:Vigente" minOccurs="0"/>
                <xsd:element ref="ns3:ProcesoAdicional" minOccurs="0"/>
                <xsd:element ref="ns3:Otro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2591e6-0f8c-49be-857d-34c2e2210ef9"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0276ee-2552-4165-9adf-a17735bd9bc3" elementFormDefault="qualified">
    <xsd:import namespace="http://schemas.microsoft.com/office/2006/documentManagement/types"/>
    <xsd:import namespace="http://schemas.microsoft.com/office/infopath/2007/PartnerControls"/>
    <xsd:element name="Codigo" ma:index="11" ma:displayName="Codigo" ma:description="" ma:internalName="Codigo">
      <xsd:simpleType>
        <xsd:restriction base="dms:Text">
          <xsd:maxLength value="255"/>
        </xsd:restriction>
      </xsd:simpleType>
    </xsd:element>
    <xsd:element name="Fecha" ma:index="12" ma:displayName="Fecha" ma:default="[today]" ma:description="" ma:format="DateOnly" ma:internalName="Fecha">
      <xsd:simpleType>
        <xsd:restriction base="dms:DateTime"/>
      </xsd:simpleType>
    </xsd:element>
    <xsd:element name="Version0" ma:index="13" ma:displayName="Version" ma:description="" ma:internalName="Version0">
      <xsd:simpleType>
        <xsd:restriction base="dms:Text">
          <xsd:maxLength value="255"/>
        </xsd:restriction>
      </xsd:simpleType>
    </xsd:element>
    <xsd:element name="Macroproceso" ma:index="14" nillable="true" ma:displayName="Macroproceso" ma:list="{c17422d4-4545-482b-b660-eda27864ee9e}" ma:internalName="Macroproceso" ma:showField="Title">
      <xsd:simpleType>
        <xsd:restriction base="dms:Lookup"/>
      </xsd:simpleType>
    </xsd:element>
    <xsd:element name="Proceso" ma:index="15" nillable="true" ma:displayName="Proceso" ma:list="{e28feae6-c23e-4b6a-b734-68e3d5de65ca}" ma:internalName="Proceso" ma:showField="Title">
      <xsd:simpleType>
        <xsd:restriction base="dms:Lookup"/>
      </xsd:simpleType>
    </xsd:element>
    <xsd:element name="TipoDocumento" ma:index="16" ma:displayName="TipoDocumento" ma:list="{9a97defc-52ba-49ac-93f4-976aa7e8b9ac}" ma:internalName="TipoDocumento" ma:showField="Title">
      <xsd:simpleType>
        <xsd:restriction base="dms:Lookup"/>
      </xsd:simpleType>
    </xsd:element>
    <xsd:element name="Vigente" ma:index="17" nillable="true" ma:displayName="Vigente" ma:default="1" ma:description="" ma:internalName="Vigente">
      <xsd:simpleType>
        <xsd:restriction base="dms:Boolean"/>
      </xsd:simpleType>
    </xsd:element>
    <xsd:element name="ProcesoAdicional" ma:index="18" nillable="true" ma:displayName="ProcesoAdicional" ma:description="" ma:list="{e28feae6-c23e-4b6a-b734-68e3d5de65ca}" ma:internalName="ProcesoAdicional" ma:showField="Title" ma:web="{9413FA74-DBCF-4579-965F-5E839F85CD78}">
      <xsd:complexType>
        <xsd:complexContent>
          <xsd:extension base="dms:MultiChoiceLookup">
            <xsd:sequence>
              <xsd:element name="Value" type="dms:Lookup" maxOccurs="unbounded" minOccurs="0" nillable="true"/>
            </xsd:sequence>
          </xsd:extension>
        </xsd:complexContent>
      </xsd:complexType>
    </xsd:element>
    <xsd:element name="OtroLink" ma:index="19" nillable="true" ma:displayName="OtroLink" ma:format="Hyperlink" ma:internalName="Otro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Macroproceso xmlns="680276ee-2552-4165-9adf-a17735bd9bc3">1</Macroproceso>
    <Fecha xmlns="680276ee-2552-4165-9adf-a17735bd9bc3">2024-06-28T05:00:00+00:00</Fecha>
    <TipoDocumento xmlns="680276ee-2552-4165-9adf-a17735bd9bc3">7</TipoDocumento>
    <Proceso xmlns="680276ee-2552-4165-9adf-a17735bd9bc3">13</Proceso>
    <Codigo xmlns="680276ee-2552-4165-9adf-a17735bd9bc3">SN</Codigo>
    <Vigente xmlns="680276ee-2552-4165-9adf-a17735bd9bc3">true</Vigente>
    <OtroLink xmlns="680276ee-2552-4165-9adf-a17735bd9bc3">
      <Url xsi:nil="true"/>
      <Description xsi:nil="true"/>
    </OtroLink>
    <Version0 xmlns="680276ee-2552-4165-9adf-a17735bd9bc3">2024</Version0>
    <ProcesoAdicional xmlns="680276ee-2552-4165-9adf-a17735bd9bc3">
      <Value>12</Value>
      <Value>24</Value>
      <Value>17</Value>
      <Value>9</Value>
      <Value>10</Value>
      <Value>11</Value>
      <Value>2</Value>
      <Value>18</Value>
      <Value>21</Value>
      <Value>22</Value>
      <Value>23</Value>
      <Value>3</Value>
      <Value>19</Value>
      <Value>15</Value>
      <Value>20</Value>
      <Value>16</Value>
      <Value>4</Value>
      <Value>5</Value>
      <Value>6</Value>
      <Value>7</Value>
      <Value>8</Value>
      <Value>14</Value>
      <Value>1</Value>
    </ProcesoAdicional>
    <_dlc_DocId xmlns="182591e6-0f8c-49be-857d-34c2e2210ef9">C6HDPSSWJME2-848893698-2327</_dlc_DocId>
    <_dlc_DocIdUrl xmlns="182591e6-0f8c-49be-857d-34c2e2210ef9">
      <Url>https://www.minagricultura.gov.co/SIG/_layouts/15/DocIdRedir.aspx?ID=C6HDPSSWJME2-848893698-2327</Url>
      <Description>C6HDPSSWJME2-848893698-2327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CDA200-F101-4A72-871F-84A4F71588AF}">
  <ds:schemaRefs>
    <ds:schemaRef ds:uri="http://schemas.openxmlformats.org/officeDocument/2006/bibliography"/>
  </ds:schemaRefs>
</ds:datastoreItem>
</file>

<file path=customXml/itemProps2.xml><?xml version="1.0" encoding="utf-8"?>
<ds:datastoreItem xmlns:ds="http://schemas.openxmlformats.org/officeDocument/2006/customXml" ds:itemID="{658CC26B-A691-4165-9374-3CBEEF032B96}">
  <ds:schemaRefs>
    <ds:schemaRef ds:uri="http://schemas.microsoft.com/sharepoint/events"/>
  </ds:schemaRefs>
</ds:datastoreItem>
</file>

<file path=customXml/itemProps3.xml><?xml version="1.0" encoding="utf-8"?>
<ds:datastoreItem xmlns:ds="http://schemas.openxmlformats.org/officeDocument/2006/customXml" ds:itemID="{D6B787A6-40BD-4C4A-A069-682570DBEB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2591e6-0f8c-49be-857d-34c2e2210ef9"/>
    <ds:schemaRef ds:uri="680276ee-2552-4165-9adf-a17735bd9b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F9292-23D7-4D6D-B388-FECAD743B3E8}">
  <ds:schemaRefs>
    <ds:schemaRef ds:uri="http://schemas.microsoft.com/office/2006/metadata/properties"/>
    <ds:schemaRef ds:uri="http://schemas.microsoft.com/office/infopath/2007/PartnerControls"/>
    <ds:schemaRef ds:uri="680276ee-2552-4165-9adf-a17735bd9bc3"/>
    <ds:schemaRef ds:uri="182591e6-0f8c-49be-857d-34c2e2210ef9"/>
  </ds:schemaRefs>
</ds:datastoreItem>
</file>

<file path=customXml/itemProps5.xml><?xml version="1.0" encoding="utf-8"?>
<ds:datastoreItem xmlns:ds="http://schemas.openxmlformats.org/officeDocument/2006/customXml" ds:itemID="{B4B8DC30-2BEB-4477-814B-CF6E4DE831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2647</Words>
  <Characters>14562</Characters>
  <Application>Microsoft Office Word</Application>
  <DocSecurity>0</DocSecurity>
  <Lines>121</Lines>
  <Paragraphs>34</Paragraphs>
  <ScaleCrop>false</ScaleCrop>
  <HeadingPairs>
    <vt:vector size="4" baseType="variant">
      <vt:variant>
        <vt:lpstr>Título</vt:lpstr>
      </vt:variant>
      <vt:variant>
        <vt:i4>1</vt:i4>
      </vt:variant>
      <vt:variant>
        <vt:lpstr>Títulos</vt:lpstr>
      </vt:variant>
      <vt:variant>
        <vt:i4>13</vt:i4>
      </vt:variant>
    </vt:vector>
  </HeadingPairs>
  <TitlesOfParts>
    <vt:vector size="14" baseType="lpstr">
      <vt:lpstr>Memorando</vt:lpstr>
      <vt:lpstr>1. INTRODUCCIÓN</vt:lpstr>
      <vt:lpstr/>
      <vt:lpstr>3. PROPÓSITO </vt:lpstr>
      <vt:lpstr/>
      <vt:lpstr>4. OBJETIVO</vt:lpstr>
      <vt:lpstr>6. JUSTIFICACIÓN</vt:lpstr>
      <vt:lpstr/>
      <vt:lpstr>        1. Introducción</vt:lpstr>
      <vt:lpstr>        2. Hallazgos principales</vt:lpstr>
      <vt:lpstr>        3. Acciones realizadas durante el seguimiento</vt:lpstr>
      <vt:lpstr>        4. Análisis</vt:lpstr>
      <vt:lpstr>        5. Conclusiones</vt:lpstr>
      <vt:lpstr>        6. Recomendaciones</vt:lpstr>
    </vt:vector>
  </TitlesOfParts>
  <Company/>
  <LinksUpToDate>false</LinksUpToDate>
  <CharactersWithSpaces>17175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William Camilo  Baracaldo Godoy</dc:creator>
  <cp:keywords/>
  <dc:description/>
  <cp:lastModifiedBy>Esperanza Acuña Hernández (Gestión Documental)</cp:lastModifiedBy>
  <cp:revision>2</cp:revision>
  <cp:lastPrinted>2023-05-07T17:22:00Z</cp:lastPrinted>
  <dcterms:created xsi:type="dcterms:W3CDTF">2026-04-28T17:28:00Z</dcterms:created>
  <dcterms:modified xsi:type="dcterms:W3CDTF">2026-04-28T17:28:00Z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0x010100F28450C21430684C91032FF5BE2885F5</vt:lpwstr>
  </property>
  <property fmtid="{D5CDD505-2E9C-101B-9397-08002B2CF9AE}" pid="3" name="_dlc_DocIdItemGuid">
    <vt:lpwstr>b29de3b5-4582-4f1d-8a6c-7915677faacb</vt:lpwstr>
  </property>
</Properties>
</file>